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3" w:rsidRPr="003360BF" w:rsidRDefault="002C56C8" w:rsidP="002C56C8">
      <w:pPr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3360BF">
        <w:rPr>
          <w:rFonts w:ascii="Calibri" w:hAnsi="Calibri"/>
          <w:b/>
          <w:sz w:val="48"/>
          <w:szCs w:val="48"/>
          <w:bdr w:val="single" w:sz="4" w:space="0" w:color="auto"/>
        </w:rPr>
        <w:t>Uranium 2017</w:t>
      </w:r>
    </w:p>
    <w:p w:rsidR="002C56C8" w:rsidRPr="003360BF" w:rsidRDefault="002C56C8" w:rsidP="000748D5">
      <w:pPr>
        <w:spacing w:after="0" w:line="240" w:lineRule="auto"/>
        <w:rPr>
          <w:rFonts w:ascii="Calibri" w:hAnsi="Calibri"/>
          <w:b/>
          <w:sz w:val="36"/>
          <w:szCs w:val="36"/>
        </w:rPr>
      </w:pPr>
    </w:p>
    <w:p w:rsidR="00592D56" w:rsidRPr="003360BF" w:rsidRDefault="00853C6F" w:rsidP="00476CCC">
      <w:pPr>
        <w:spacing w:after="0" w:line="240" w:lineRule="auto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Besoin</w:t>
      </w:r>
      <w:r w:rsidR="00DA6CD4" w:rsidRPr="003360BF">
        <w:rPr>
          <w:rFonts w:ascii="Calibri" w:hAnsi="Calibri"/>
          <w:b/>
          <w:sz w:val="36"/>
          <w:szCs w:val="36"/>
        </w:rPr>
        <w:t xml:space="preserve"> en uranium</w:t>
      </w:r>
    </w:p>
    <w:p w:rsidR="00252A28" w:rsidRPr="0098721D" w:rsidRDefault="0098721D" w:rsidP="004A27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98721D">
        <w:rPr>
          <w:rFonts w:eastAsia="Times New Roman" w:cs="Times New Roman"/>
          <w:sz w:val="28"/>
          <w:szCs w:val="28"/>
          <w:lang w:eastAsia="fr-FR"/>
        </w:rPr>
        <w:t xml:space="preserve">La </w:t>
      </w:r>
      <w:r w:rsidR="00252A28" w:rsidRPr="0098721D">
        <w:rPr>
          <w:rFonts w:eastAsia="Times New Roman" w:cs="Times New Roman"/>
          <w:sz w:val="28"/>
          <w:szCs w:val="28"/>
          <w:lang w:eastAsia="fr-FR"/>
        </w:rPr>
        <w:t>demand</w:t>
      </w:r>
      <w:r w:rsidRPr="0098721D">
        <w:rPr>
          <w:rFonts w:eastAsia="Times New Roman" w:cs="Times New Roman"/>
          <w:sz w:val="28"/>
          <w:szCs w:val="28"/>
          <w:lang w:eastAsia="fr-FR"/>
        </w:rPr>
        <w:t>e</w:t>
      </w:r>
      <w:r w:rsidR="00252A28" w:rsidRPr="0098721D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98721D">
        <w:rPr>
          <w:rFonts w:eastAsia="Times New Roman" w:cs="Times New Roman"/>
          <w:sz w:val="28"/>
          <w:szCs w:val="28"/>
          <w:lang w:eastAsia="fr-FR"/>
        </w:rPr>
        <w:t>en uranium a commencé à fl</w:t>
      </w:r>
      <w:r>
        <w:rPr>
          <w:rFonts w:eastAsia="Times New Roman" w:cs="Times New Roman"/>
          <w:sz w:val="28"/>
          <w:szCs w:val="28"/>
          <w:lang w:eastAsia="fr-FR"/>
        </w:rPr>
        <w:t>a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ncher peu après l’accident survenu en 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>mars 2011</w:t>
      </w:r>
      <w:r>
        <w:rPr>
          <w:rFonts w:eastAsia="Times New Roman" w:cs="Times New Roman"/>
          <w:sz w:val="28"/>
          <w:szCs w:val="28"/>
          <w:lang w:eastAsia="fr-FR"/>
        </w:rPr>
        <w:t>,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 </w:t>
      </w:r>
      <w:r>
        <w:rPr>
          <w:rFonts w:eastAsia="Times New Roman" w:cs="Times New Roman"/>
          <w:sz w:val="28"/>
          <w:szCs w:val="28"/>
          <w:lang w:eastAsia="fr-FR"/>
        </w:rPr>
        <w:t>au cours d’un raz-de-marée océanique</w:t>
      </w:r>
      <w:r w:rsidR="00703742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703742" w:rsidRPr="00703742">
        <w:rPr>
          <w:rFonts w:eastAsia="Times New Roman" w:cs="Times New Roman"/>
          <w:i/>
          <w:sz w:val="28"/>
          <w:szCs w:val="28"/>
          <w:lang w:eastAsia="fr-FR"/>
        </w:rPr>
        <w:t>tsunami</w:t>
      </w:r>
      <w:r w:rsidR="00703742">
        <w:rPr>
          <w:rFonts w:eastAsia="Times New Roman" w:cs="Times New Roman"/>
          <w:sz w:val="28"/>
          <w:szCs w:val="28"/>
          <w:lang w:eastAsia="fr-FR"/>
        </w:rPr>
        <w:t>)</w:t>
      </w:r>
      <w:r>
        <w:rPr>
          <w:rFonts w:eastAsia="Times New Roman" w:cs="Times New Roman"/>
          <w:sz w:val="28"/>
          <w:szCs w:val="28"/>
          <w:lang w:eastAsia="fr-FR"/>
        </w:rPr>
        <w:t xml:space="preserve">, à </w:t>
      </w:r>
      <w:r w:rsidRPr="0098721D">
        <w:rPr>
          <w:rFonts w:eastAsia="Times New Roman" w:cs="Times New Roman"/>
          <w:sz w:val="28"/>
          <w:szCs w:val="28"/>
          <w:lang w:eastAsia="fr-FR"/>
        </w:rPr>
        <w:t>la</w:t>
      </w:r>
      <w:r>
        <w:rPr>
          <w:rFonts w:eastAsia="Times New Roman" w:cs="Times New Roman"/>
          <w:sz w:val="28"/>
          <w:szCs w:val="28"/>
          <w:lang w:eastAsia="fr-FR"/>
        </w:rPr>
        <w:t xml:space="preserve"> centrale japonaise de </w:t>
      </w:r>
      <w:r w:rsidR="00252A28" w:rsidRPr="00703742">
        <w:rPr>
          <w:rFonts w:eastAsia="Times New Roman" w:cs="Times New Roman"/>
          <w:i/>
          <w:sz w:val="28"/>
          <w:szCs w:val="28"/>
          <w:lang w:eastAsia="fr-FR"/>
        </w:rPr>
        <w:t xml:space="preserve">Fukushima </w:t>
      </w:r>
      <w:proofErr w:type="spellStart"/>
      <w:r w:rsidR="00252A28" w:rsidRPr="00703742">
        <w:rPr>
          <w:rFonts w:eastAsia="Times New Roman" w:cs="Times New Roman"/>
          <w:i/>
          <w:sz w:val="28"/>
          <w:szCs w:val="28"/>
          <w:lang w:eastAsia="fr-FR"/>
        </w:rPr>
        <w:t>Daï</w:t>
      </w:r>
      <w:proofErr w:type="spellEnd"/>
      <w:r w:rsidR="00252A28" w:rsidRPr="00703742">
        <w:rPr>
          <w:rFonts w:eastAsia="Times New Roman" w:cs="Times New Roman"/>
          <w:i/>
          <w:sz w:val="28"/>
          <w:szCs w:val="28"/>
          <w:lang w:eastAsia="fr-FR"/>
        </w:rPr>
        <w:t>-</w:t>
      </w:r>
      <w:proofErr w:type="spellStart"/>
      <w:r w:rsidR="00252A28" w:rsidRPr="00703742">
        <w:rPr>
          <w:rFonts w:eastAsia="Times New Roman" w:cs="Times New Roman"/>
          <w:i/>
          <w:sz w:val="28"/>
          <w:szCs w:val="28"/>
          <w:lang w:eastAsia="fr-FR"/>
        </w:rPr>
        <w:t>ichi</w:t>
      </w:r>
      <w:proofErr w:type="spellEnd"/>
      <w:r w:rsidR="00252A28" w:rsidRPr="0098721D">
        <w:rPr>
          <w:rFonts w:eastAsia="Times New Roman" w:cs="Times New Roman"/>
          <w:sz w:val="28"/>
          <w:szCs w:val="28"/>
          <w:lang w:eastAsia="fr-FR"/>
        </w:rPr>
        <w:t xml:space="preserve">. </w:t>
      </w:r>
      <w:r>
        <w:rPr>
          <w:rFonts w:eastAsia="Times New Roman" w:cs="Times New Roman"/>
          <w:sz w:val="28"/>
          <w:szCs w:val="28"/>
          <w:lang w:eastAsia="fr-FR"/>
        </w:rPr>
        <w:t xml:space="preserve">Cette situation a eu pour conséquence un effondrement des prix et six années difficiles pour les producteurs miniers qui on dû réduire leur production et fermer des mines. </w:t>
      </w:r>
    </w:p>
    <w:p w:rsidR="00252A28" w:rsidRPr="0098721D" w:rsidRDefault="00252A28" w:rsidP="00FA67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BF6661" w:rsidRPr="0098721D" w:rsidRDefault="00BF6661" w:rsidP="00FA67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98721D">
        <w:rPr>
          <w:rFonts w:eastAsia="Times New Roman" w:cs="Times New Roman"/>
          <w:sz w:val="28"/>
          <w:szCs w:val="28"/>
          <w:lang w:eastAsia="fr-FR"/>
        </w:rPr>
        <w:t xml:space="preserve">En 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>201</w:t>
      </w:r>
      <w:r w:rsidR="00835076" w:rsidRPr="00703742">
        <w:rPr>
          <w:rFonts w:eastAsia="Times New Roman" w:cs="Times New Roman"/>
          <w:i/>
          <w:sz w:val="28"/>
          <w:szCs w:val="28"/>
          <w:lang w:eastAsia="fr-FR"/>
        </w:rPr>
        <w:t>7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, avec 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>44</w:t>
      </w:r>
      <w:r w:rsidR="00EA4D2A">
        <w:rPr>
          <w:rFonts w:eastAsia="Times New Roman" w:cs="Times New Roman"/>
          <w:i/>
          <w:sz w:val="28"/>
          <w:szCs w:val="28"/>
          <w:lang w:eastAsia="fr-FR"/>
        </w:rPr>
        <w:t>9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Pr="0098721D">
        <w:rPr>
          <w:rFonts w:eastAsia="Times New Roman" w:cs="Times New Roman"/>
          <w:sz w:val="28"/>
          <w:szCs w:val="28"/>
          <w:lang w:eastAsia="fr-FR"/>
        </w:rPr>
        <w:t>réacteurs nucléaires raccordés aux réseaux</w:t>
      </w:r>
      <w:r w:rsidR="0098721D">
        <w:rPr>
          <w:rFonts w:eastAsia="Times New Roman" w:cs="Times New Roman"/>
          <w:sz w:val="28"/>
          <w:szCs w:val="28"/>
          <w:lang w:eastAsia="fr-FR"/>
        </w:rPr>
        <w:t xml:space="preserve"> électriques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, les besoins mondiaux des </w:t>
      </w:r>
      <w:r w:rsidRPr="009406FE">
        <w:rPr>
          <w:rFonts w:eastAsia="Times New Roman" w:cs="Times New Roman"/>
          <w:i/>
          <w:sz w:val="28"/>
          <w:szCs w:val="28"/>
          <w:lang w:eastAsia="fr-FR"/>
        </w:rPr>
        <w:t>3</w:t>
      </w:r>
      <w:r w:rsidR="009406FE" w:rsidRPr="009406FE">
        <w:rPr>
          <w:rFonts w:eastAsia="Times New Roman" w:cs="Times New Roman"/>
          <w:i/>
          <w:sz w:val="28"/>
          <w:szCs w:val="28"/>
          <w:lang w:eastAsia="fr-FR"/>
        </w:rPr>
        <w:t>2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 pays consommateurs </w:t>
      </w:r>
      <w:r w:rsidR="00835076">
        <w:rPr>
          <w:rFonts w:eastAsia="Times New Roman" w:cs="Times New Roman"/>
          <w:sz w:val="28"/>
          <w:szCs w:val="28"/>
          <w:lang w:eastAsia="fr-FR"/>
        </w:rPr>
        <w:t>s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ont de 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>6</w:t>
      </w:r>
      <w:r w:rsidR="00835076" w:rsidRPr="00703742">
        <w:rPr>
          <w:rFonts w:eastAsia="Times New Roman" w:cs="Times New Roman"/>
          <w:i/>
          <w:sz w:val="28"/>
          <w:szCs w:val="28"/>
          <w:lang w:eastAsia="fr-FR"/>
        </w:rPr>
        <w:t>7</w:t>
      </w:r>
      <w:r w:rsidRPr="00703742">
        <w:rPr>
          <w:rFonts w:eastAsia="Times New Roman" w:cs="Times New Roman"/>
          <w:i/>
          <w:sz w:val="28"/>
          <w:szCs w:val="28"/>
          <w:lang w:eastAsia="fr-FR"/>
        </w:rPr>
        <w:t> </w:t>
      </w:r>
      <w:r w:rsidR="00835076" w:rsidRPr="00703742">
        <w:rPr>
          <w:rFonts w:eastAsia="Times New Roman" w:cs="Times New Roman"/>
          <w:i/>
          <w:sz w:val="28"/>
          <w:szCs w:val="28"/>
          <w:lang w:eastAsia="fr-FR"/>
        </w:rPr>
        <w:t>867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 tonnes d’uranium (</w:t>
      </w:r>
      <w:proofErr w:type="spellStart"/>
      <w:r w:rsidRPr="00703742">
        <w:rPr>
          <w:rFonts w:eastAsia="Times New Roman" w:cs="Times New Roman"/>
          <w:i/>
          <w:sz w:val="28"/>
          <w:szCs w:val="28"/>
          <w:lang w:eastAsia="fr-FR"/>
        </w:rPr>
        <w:t>tU</w:t>
      </w:r>
      <w:proofErr w:type="spellEnd"/>
      <w:r w:rsidRPr="0098721D">
        <w:rPr>
          <w:rFonts w:eastAsia="Times New Roman" w:cs="Times New Roman"/>
          <w:sz w:val="28"/>
          <w:szCs w:val="28"/>
          <w:lang w:eastAsia="fr-FR"/>
        </w:rPr>
        <w:t>)</w:t>
      </w:r>
      <w:r w:rsidR="003A1470">
        <w:rPr>
          <w:rFonts w:eastAsia="Times New Roman" w:cs="Times New Roman"/>
          <w:sz w:val="28"/>
          <w:szCs w:val="28"/>
          <w:lang w:eastAsia="fr-FR"/>
        </w:rPr>
        <w:t>, l</w:t>
      </w:r>
      <w:r w:rsidRPr="0098721D">
        <w:rPr>
          <w:rFonts w:eastAsia="Times New Roman" w:cs="Times New Roman"/>
          <w:sz w:val="28"/>
          <w:szCs w:val="28"/>
          <w:lang w:eastAsia="fr-FR"/>
        </w:rPr>
        <w:t>a majeure partie de</w:t>
      </w:r>
      <w:r w:rsidR="003A1470">
        <w:rPr>
          <w:rFonts w:eastAsia="Times New Roman" w:cs="Times New Roman"/>
          <w:sz w:val="28"/>
          <w:szCs w:val="28"/>
          <w:lang w:eastAsia="fr-FR"/>
        </w:rPr>
        <w:t xml:space="preserve"> ce</w:t>
      </w:r>
      <w:r w:rsidRPr="0098721D">
        <w:rPr>
          <w:rFonts w:eastAsia="Times New Roman" w:cs="Times New Roman"/>
          <w:sz w:val="28"/>
          <w:szCs w:val="28"/>
          <w:lang w:eastAsia="fr-FR"/>
        </w:rPr>
        <w:t>s besoins prov</w:t>
      </w:r>
      <w:r w:rsidR="003A1470">
        <w:rPr>
          <w:rFonts w:eastAsia="Times New Roman" w:cs="Times New Roman"/>
          <w:sz w:val="28"/>
          <w:szCs w:val="28"/>
          <w:lang w:eastAsia="fr-FR"/>
        </w:rPr>
        <w:t>enant de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 3 régions</w:t>
      </w:r>
      <w:r w:rsidR="00703742">
        <w:rPr>
          <w:rFonts w:eastAsia="Times New Roman" w:cs="Times New Roman"/>
          <w:sz w:val="28"/>
          <w:szCs w:val="28"/>
          <w:lang w:eastAsia="fr-FR"/>
        </w:rPr>
        <w:t> :</w:t>
      </w:r>
      <w:r w:rsidR="003A1470">
        <w:rPr>
          <w:rFonts w:eastAsia="Times New Roman" w:cs="Times New Roman"/>
          <w:sz w:val="28"/>
          <w:szCs w:val="28"/>
          <w:lang w:eastAsia="fr-FR"/>
        </w:rPr>
        <w:t xml:space="preserve"> E</w:t>
      </w:r>
      <w:r w:rsidRPr="0098721D">
        <w:rPr>
          <w:rFonts w:eastAsia="Times New Roman" w:cs="Times New Roman"/>
          <w:sz w:val="28"/>
          <w:szCs w:val="28"/>
          <w:lang w:eastAsia="fr-FR"/>
        </w:rPr>
        <w:t xml:space="preserve">urope, Amérique du Nord et Asie de l’Est. </w:t>
      </w:r>
    </w:p>
    <w:p w:rsidR="00BF6661" w:rsidRPr="00FF00F9" w:rsidRDefault="00BF6661" w:rsidP="00FA675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Verdana" w:hAnsi="Verdana"/>
          <w:color w:val="00B050"/>
          <w:sz w:val="20"/>
          <w:szCs w:val="20"/>
        </w:rPr>
      </w:pPr>
    </w:p>
    <w:p w:rsidR="00BF6661" w:rsidRDefault="00BF6661" w:rsidP="00FA67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636F59">
        <w:rPr>
          <w:rFonts w:eastAsia="Times New Roman" w:cs="Times New Roman"/>
          <w:sz w:val="28"/>
          <w:szCs w:val="28"/>
          <w:lang w:eastAsia="fr-FR"/>
        </w:rPr>
        <w:t>La consommation</w:t>
      </w:r>
      <w:r w:rsidR="009406FE">
        <w:rPr>
          <w:rFonts w:eastAsia="Times New Roman" w:cs="Times New Roman"/>
          <w:sz w:val="28"/>
          <w:szCs w:val="28"/>
          <w:lang w:eastAsia="fr-FR"/>
        </w:rPr>
        <w:t xml:space="preserve"> de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9406FE">
        <w:rPr>
          <w:rFonts w:eastAsia="Times New Roman" w:cs="Times New Roman"/>
          <w:i/>
          <w:sz w:val="28"/>
          <w:szCs w:val="28"/>
          <w:lang w:eastAsia="fr-FR"/>
        </w:rPr>
        <w:t>201</w:t>
      </w:r>
      <w:r w:rsidR="00D4116B" w:rsidRPr="009406FE">
        <w:rPr>
          <w:rFonts w:eastAsia="Times New Roman" w:cs="Times New Roman"/>
          <w:i/>
          <w:sz w:val="28"/>
          <w:szCs w:val="28"/>
          <w:lang w:eastAsia="fr-FR"/>
        </w:rPr>
        <w:t>7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en uranium des </w:t>
      </w:r>
      <w:r w:rsidRPr="009406FE">
        <w:rPr>
          <w:rFonts w:eastAsia="Times New Roman" w:cs="Times New Roman"/>
          <w:i/>
          <w:sz w:val="28"/>
          <w:szCs w:val="28"/>
          <w:lang w:eastAsia="fr-FR"/>
        </w:rPr>
        <w:t>1</w:t>
      </w:r>
      <w:r w:rsidR="00D4116B" w:rsidRPr="009406FE">
        <w:rPr>
          <w:rFonts w:eastAsia="Times New Roman" w:cs="Times New Roman"/>
          <w:i/>
          <w:sz w:val="28"/>
          <w:szCs w:val="28"/>
          <w:lang w:eastAsia="fr-FR"/>
        </w:rPr>
        <w:t>1</w:t>
      </w:r>
      <w:r w:rsidRPr="009406FE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pays de tête représente </w:t>
      </w:r>
      <w:r w:rsidR="00D4116B" w:rsidRPr="00A64878">
        <w:rPr>
          <w:rFonts w:eastAsia="Times New Roman" w:cs="Times New Roman"/>
          <w:i/>
          <w:sz w:val="28"/>
          <w:szCs w:val="28"/>
          <w:lang w:eastAsia="fr-FR"/>
        </w:rPr>
        <w:t>8</w:t>
      </w:r>
      <w:r w:rsidRPr="00A64878">
        <w:rPr>
          <w:rFonts w:eastAsia="Times New Roman" w:cs="Times New Roman"/>
          <w:i/>
          <w:sz w:val="28"/>
          <w:szCs w:val="28"/>
          <w:lang w:eastAsia="fr-FR"/>
        </w:rPr>
        <w:t>6 %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des besoins mondiaux, les </w:t>
      </w:r>
      <w:r w:rsidRPr="00A64878">
        <w:rPr>
          <w:rFonts w:eastAsia="Times New Roman" w:cs="Times New Roman"/>
          <w:i/>
          <w:sz w:val="28"/>
          <w:szCs w:val="28"/>
          <w:lang w:eastAsia="fr-FR"/>
        </w:rPr>
        <w:t>Etats-Unis</w:t>
      </w:r>
      <w:r w:rsidR="00636F59">
        <w:rPr>
          <w:rFonts w:eastAsia="Times New Roman" w:cs="Times New Roman"/>
          <w:sz w:val="28"/>
          <w:szCs w:val="28"/>
          <w:lang w:eastAsia="fr-FR"/>
        </w:rPr>
        <w:t xml:space="preserve"> (26%</w:t>
      </w:r>
      <w:r w:rsidR="00A64878">
        <w:rPr>
          <w:rFonts w:eastAsia="Times New Roman" w:cs="Times New Roman"/>
          <w:sz w:val="28"/>
          <w:szCs w:val="28"/>
          <w:lang w:eastAsia="fr-FR"/>
        </w:rPr>
        <w:t xml:space="preserve"> de la demande</w:t>
      </w:r>
      <w:r w:rsidR="00636F59">
        <w:rPr>
          <w:rFonts w:eastAsia="Times New Roman" w:cs="Times New Roman"/>
          <w:sz w:val="28"/>
          <w:szCs w:val="28"/>
          <w:lang w:eastAsia="fr-FR"/>
        </w:rPr>
        <w:t>)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, la </w:t>
      </w:r>
      <w:r w:rsidR="00636F59" w:rsidRPr="00A64878">
        <w:rPr>
          <w:rFonts w:eastAsia="Times New Roman" w:cs="Times New Roman"/>
          <w:i/>
          <w:sz w:val="28"/>
          <w:szCs w:val="28"/>
          <w:lang w:eastAsia="fr-FR"/>
        </w:rPr>
        <w:t>France</w:t>
      </w:r>
      <w:r w:rsidR="00636F59">
        <w:rPr>
          <w:rFonts w:eastAsia="Times New Roman" w:cs="Times New Roman"/>
          <w:sz w:val="28"/>
          <w:szCs w:val="28"/>
          <w:lang w:eastAsia="fr-FR"/>
        </w:rPr>
        <w:t xml:space="preserve"> (14%)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Pr="00A64878">
        <w:rPr>
          <w:rFonts w:eastAsia="Times New Roman" w:cs="Times New Roman"/>
          <w:i/>
          <w:sz w:val="28"/>
          <w:szCs w:val="28"/>
          <w:lang w:eastAsia="fr-FR"/>
        </w:rPr>
        <w:t>Russie</w:t>
      </w:r>
      <w:r w:rsidR="00636F59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DB5439">
        <w:rPr>
          <w:rFonts w:eastAsia="Times New Roman" w:cs="Times New Roman"/>
          <w:sz w:val="28"/>
          <w:szCs w:val="28"/>
          <w:lang w:eastAsia="fr-FR"/>
        </w:rPr>
        <w:t>11</w:t>
      </w:r>
      <w:r w:rsidR="00636F59">
        <w:rPr>
          <w:rFonts w:eastAsia="Times New Roman" w:cs="Times New Roman"/>
          <w:sz w:val="28"/>
          <w:szCs w:val="28"/>
          <w:lang w:eastAsia="fr-FR"/>
        </w:rPr>
        <w:t>%)</w:t>
      </w:r>
      <w:r w:rsidR="00720303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="00636F59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4738B3" w:rsidRPr="00A64878">
        <w:rPr>
          <w:rFonts w:eastAsia="Times New Roman" w:cs="Times New Roman"/>
          <w:i/>
          <w:sz w:val="28"/>
          <w:szCs w:val="28"/>
          <w:lang w:eastAsia="fr-FR"/>
        </w:rPr>
        <w:t>Chine</w:t>
      </w:r>
      <w:r w:rsidR="00DB5439">
        <w:rPr>
          <w:rFonts w:eastAsia="Times New Roman" w:cs="Times New Roman"/>
          <w:sz w:val="28"/>
          <w:szCs w:val="28"/>
          <w:lang w:eastAsia="fr-FR"/>
        </w:rPr>
        <w:t xml:space="preserve"> (11%)</w:t>
      </w:r>
      <w:r w:rsidR="004738B3">
        <w:rPr>
          <w:rFonts w:eastAsia="Times New Roman" w:cs="Times New Roman"/>
          <w:sz w:val="28"/>
          <w:szCs w:val="28"/>
          <w:lang w:eastAsia="fr-FR"/>
        </w:rPr>
        <w:t>,</w:t>
      </w:r>
      <w:r w:rsidR="00720303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720303" w:rsidRPr="00A64878">
        <w:rPr>
          <w:rFonts w:eastAsia="Times New Roman" w:cs="Times New Roman"/>
          <w:i/>
          <w:sz w:val="28"/>
          <w:szCs w:val="28"/>
          <w:lang w:eastAsia="fr-FR"/>
        </w:rPr>
        <w:t>Corée</w:t>
      </w:r>
      <w:r w:rsidR="004738B3" w:rsidRPr="00A64878">
        <w:rPr>
          <w:rFonts w:eastAsia="Times New Roman" w:cs="Times New Roman"/>
          <w:i/>
          <w:sz w:val="28"/>
          <w:szCs w:val="28"/>
          <w:lang w:eastAsia="fr-FR"/>
        </w:rPr>
        <w:t>-</w:t>
      </w:r>
      <w:r w:rsidR="00720303" w:rsidRPr="00A64878">
        <w:rPr>
          <w:rFonts w:eastAsia="Times New Roman" w:cs="Times New Roman"/>
          <w:i/>
          <w:sz w:val="28"/>
          <w:szCs w:val="28"/>
          <w:lang w:eastAsia="fr-FR"/>
        </w:rPr>
        <w:t>du</w:t>
      </w:r>
      <w:r w:rsidR="004738B3" w:rsidRPr="00A64878">
        <w:rPr>
          <w:rFonts w:eastAsia="Times New Roman" w:cs="Times New Roman"/>
          <w:i/>
          <w:sz w:val="28"/>
          <w:szCs w:val="28"/>
          <w:lang w:eastAsia="fr-FR"/>
        </w:rPr>
        <w:t>-</w:t>
      </w:r>
      <w:r w:rsidR="00720303" w:rsidRPr="00A64878">
        <w:rPr>
          <w:rFonts w:eastAsia="Times New Roman" w:cs="Times New Roman"/>
          <w:i/>
          <w:sz w:val="28"/>
          <w:szCs w:val="28"/>
          <w:lang w:eastAsia="fr-FR"/>
        </w:rPr>
        <w:t>Sud</w:t>
      </w:r>
      <w:proofErr w:type="spellEnd"/>
      <w:r w:rsidR="00DB5439">
        <w:rPr>
          <w:rFonts w:eastAsia="Times New Roman" w:cs="Times New Roman"/>
          <w:sz w:val="28"/>
          <w:szCs w:val="28"/>
          <w:lang w:eastAsia="fr-FR"/>
        </w:rPr>
        <w:t xml:space="preserve"> (7%)</w:t>
      </w:r>
      <w:r w:rsidR="00720303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="00720303" w:rsidRPr="00A64878">
        <w:rPr>
          <w:rFonts w:eastAsia="Times New Roman" w:cs="Times New Roman"/>
          <w:i/>
          <w:sz w:val="28"/>
          <w:szCs w:val="28"/>
          <w:lang w:eastAsia="fr-FR"/>
        </w:rPr>
        <w:t>Japon</w:t>
      </w:r>
      <w:r w:rsidR="00DB5439">
        <w:rPr>
          <w:rFonts w:eastAsia="Times New Roman" w:cs="Times New Roman"/>
          <w:sz w:val="28"/>
          <w:szCs w:val="28"/>
          <w:lang w:eastAsia="fr-FR"/>
        </w:rPr>
        <w:t xml:space="preserve"> (4%)</w:t>
      </w:r>
      <w:r w:rsidR="00720303">
        <w:rPr>
          <w:rFonts w:eastAsia="Times New Roman" w:cs="Times New Roman"/>
          <w:sz w:val="28"/>
          <w:szCs w:val="28"/>
          <w:lang w:eastAsia="fr-FR"/>
        </w:rPr>
        <w:t xml:space="preserve"> et </w:t>
      </w:r>
      <w:r w:rsidR="00720303" w:rsidRPr="00A64878">
        <w:rPr>
          <w:rFonts w:eastAsia="Times New Roman" w:cs="Times New Roman"/>
          <w:i/>
          <w:sz w:val="28"/>
          <w:szCs w:val="28"/>
          <w:lang w:eastAsia="fr-FR"/>
        </w:rPr>
        <w:t>Ukraine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636F59">
        <w:rPr>
          <w:rFonts w:eastAsia="Times New Roman" w:cs="Times New Roman"/>
          <w:sz w:val="28"/>
          <w:szCs w:val="28"/>
          <w:lang w:eastAsia="fr-FR"/>
        </w:rPr>
        <w:t>(</w:t>
      </w:r>
      <w:r w:rsidR="00DB5439">
        <w:rPr>
          <w:rFonts w:eastAsia="Times New Roman" w:cs="Times New Roman"/>
          <w:sz w:val="28"/>
          <w:szCs w:val="28"/>
          <w:lang w:eastAsia="fr-FR"/>
        </w:rPr>
        <w:t>3</w:t>
      </w:r>
      <w:r w:rsidR="00636F59">
        <w:rPr>
          <w:rFonts w:eastAsia="Times New Roman" w:cs="Times New Roman"/>
          <w:sz w:val="28"/>
          <w:szCs w:val="28"/>
          <w:lang w:eastAsia="fr-FR"/>
        </w:rPr>
        <w:t xml:space="preserve">%) </w:t>
      </w:r>
      <w:r w:rsidRPr="00636F59">
        <w:rPr>
          <w:rFonts w:eastAsia="Times New Roman" w:cs="Times New Roman"/>
          <w:sz w:val="28"/>
          <w:szCs w:val="28"/>
          <w:lang w:eastAsia="fr-FR"/>
        </w:rPr>
        <w:t>devançant les autres.</w:t>
      </w:r>
    </w:p>
    <w:p w:rsidR="00636F59" w:rsidRDefault="00636F59" w:rsidP="00FA67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0420B3" w:rsidRPr="00636F59" w:rsidRDefault="000420B3" w:rsidP="00FA67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636F59">
        <w:rPr>
          <w:rFonts w:eastAsia="Times New Roman" w:cs="Times New Roman"/>
          <w:sz w:val="28"/>
          <w:szCs w:val="28"/>
          <w:lang w:eastAsia="fr-FR"/>
        </w:rPr>
        <w:t xml:space="preserve">En 2016, la consommation d’uranium du </w:t>
      </w:r>
      <w:r w:rsidRPr="00232E01">
        <w:rPr>
          <w:rFonts w:eastAsia="Times New Roman" w:cs="Times New Roman"/>
          <w:i/>
          <w:sz w:val="28"/>
          <w:szCs w:val="28"/>
          <w:lang w:eastAsia="fr-FR"/>
        </w:rPr>
        <w:t xml:space="preserve">Japon </w:t>
      </w:r>
      <w:r w:rsidRPr="00636F59">
        <w:rPr>
          <w:rFonts w:eastAsia="Times New Roman" w:cs="Times New Roman"/>
          <w:sz w:val="28"/>
          <w:szCs w:val="28"/>
          <w:lang w:eastAsia="fr-FR"/>
        </w:rPr>
        <w:t>a</w:t>
      </w:r>
      <w:r w:rsidR="00DB5439">
        <w:rPr>
          <w:rFonts w:eastAsia="Times New Roman" w:cs="Times New Roman"/>
          <w:sz w:val="28"/>
          <w:szCs w:val="28"/>
          <w:lang w:eastAsia="fr-FR"/>
        </w:rPr>
        <w:t>vait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été faible (680 </w:t>
      </w:r>
      <w:proofErr w:type="spellStart"/>
      <w:r w:rsidRPr="00636F59">
        <w:rPr>
          <w:rFonts w:eastAsia="Times New Roman" w:cs="Times New Roman"/>
          <w:sz w:val="28"/>
          <w:szCs w:val="28"/>
          <w:lang w:eastAsia="fr-FR"/>
        </w:rPr>
        <w:t>tU</w:t>
      </w:r>
      <w:proofErr w:type="spellEnd"/>
      <w:r w:rsidRPr="00636F59">
        <w:rPr>
          <w:rFonts w:eastAsia="Times New Roman" w:cs="Times New Roman"/>
          <w:sz w:val="28"/>
          <w:szCs w:val="28"/>
          <w:lang w:eastAsia="fr-FR"/>
        </w:rPr>
        <w:t>), alors que ce pays était précédemment le 3</w:t>
      </w:r>
      <w:r w:rsidRPr="00DB5439">
        <w:rPr>
          <w:rFonts w:eastAsia="Times New Roman" w:cs="Times New Roman"/>
          <w:sz w:val="28"/>
          <w:szCs w:val="28"/>
          <w:vertAlign w:val="superscript"/>
          <w:lang w:eastAsia="fr-FR"/>
        </w:rPr>
        <w:t>ème</w:t>
      </w:r>
      <w:r w:rsidR="00DB5439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plus gros consommateur mondial. Tous les réacteurs japonais avaient été mis à l’arrêt en 2014 pour des évaluations de sûreté nucléaire et </w:t>
      </w:r>
      <w:r w:rsidR="00DB5439">
        <w:rPr>
          <w:rFonts w:eastAsia="Times New Roman" w:cs="Times New Roman"/>
          <w:sz w:val="28"/>
          <w:szCs w:val="28"/>
          <w:lang w:eastAsia="fr-FR"/>
        </w:rPr>
        <w:t>certains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d’entre eux </w:t>
      </w:r>
      <w:r w:rsidR="00636F59">
        <w:rPr>
          <w:rFonts w:eastAsia="Times New Roman" w:cs="Times New Roman"/>
          <w:sz w:val="28"/>
          <w:szCs w:val="28"/>
          <w:lang w:eastAsia="fr-FR"/>
        </w:rPr>
        <w:t>ont redéma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rré </w:t>
      </w:r>
      <w:r w:rsidR="00703742">
        <w:rPr>
          <w:rFonts w:eastAsia="Times New Roman" w:cs="Times New Roman"/>
          <w:sz w:val="28"/>
          <w:szCs w:val="28"/>
          <w:lang w:eastAsia="fr-FR"/>
        </w:rPr>
        <w:t xml:space="preserve">progressivement </w:t>
      </w:r>
      <w:r w:rsidRPr="00636F59">
        <w:rPr>
          <w:rFonts w:eastAsia="Times New Roman" w:cs="Times New Roman"/>
          <w:sz w:val="28"/>
          <w:szCs w:val="28"/>
          <w:lang w:eastAsia="fr-FR"/>
        </w:rPr>
        <w:t>en</w:t>
      </w:r>
      <w:r w:rsidR="00636F59">
        <w:rPr>
          <w:rFonts w:eastAsia="Times New Roman" w:cs="Times New Roman"/>
          <w:sz w:val="28"/>
          <w:szCs w:val="28"/>
          <w:lang w:eastAsia="fr-FR"/>
        </w:rPr>
        <w:t>tre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 2015 et 201</w:t>
      </w:r>
      <w:r w:rsidR="00636F59">
        <w:rPr>
          <w:rFonts w:eastAsia="Times New Roman" w:cs="Times New Roman"/>
          <w:sz w:val="28"/>
          <w:szCs w:val="28"/>
          <w:lang w:eastAsia="fr-FR"/>
        </w:rPr>
        <w:t>7</w:t>
      </w:r>
      <w:r w:rsidRPr="00636F59">
        <w:rPr>
          <w:rFonts w:eastAsia="Times New Roman" w:cs="Times New Roman"/>
          <w:sz w:val="28"/>
          <w:szCs w:val="28"/>
          <w:lang w:eastAsia="fr-FR"/>
        </w:rPr>
        <w:t xml:space="preserve">. </w:t>
      </w:r>
    </w:p>
    <w:p w:rsidR="00A541C1" w:rsidRDefault="00A541C1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0420B3" w:rsidRPr="00A541C1" w:rsidRDefault="000420B3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420B3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486400" cy="3200400"/>
            <wp:effectExtent l="0" t="0" r="0" b="0"/>
            <wp:docPr id="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41C1" w:rsidRPr="00A541C1" w:rsidRDefault="00A541C1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A541C1" w:rsidRPr="00EF186D" w:rsidRDefault="00A541C1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</w:p>
    <w:p w:rsidR="00592D56" w:rsidRPr="00592D56" w:rsidRDefault="00592D56" w:rsidP="00592D5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fr-FR"/>
        </w:rPr>
      </w:pPr>
      <w:r w:rsidRPr="00592D56">
        <w:rPr>
          <w:rFonts w:eastAsia="Times New Roman" w:cs="Times New Roman"/>
          <w:b/>
          <w:sz w:val="36"/>
          <w:szCs w:val="36"/>
          <w:lang w:eastAsia="fr-FR"/>
        </w:rPr>
        <w:t>Prix</w:t>
      </w:r>
      <w:r w:rsidR="00DA6CD4">
        <w:rPr>
          <w:rFonts w:eastAsia="Times New Roman" w:cs="Times New Roman"/>
          <w:b/>
          <w:sz w:val="36"/>
          <w:szCs w:val="36"/>
          <w:lang w:eastAsia="fr-FR"/>
        </w:rPr>
        <w:t xml:space="preserve"> de l’uranium</w:t>
      </w:r>
    </w:p>
    <w:p w:rsidR="00592D56" w:rsidRPr="00592D56" w:rsidRDefault="00592D56" w:rsidP="00592D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592D56">
        <w:rPr>
          <w:rFonts w:eastAsia="Times New Roman" w:cs="Times New Roman"/>
          <w:sz w:val="28"/>
          <w:szCs w:val="28"/>
          <w:lang w:eastAsia="fr-FR"/>
        </w:rPr>
        <w:t xml:space="preserve">En début d’année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2016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les prix ponctuels (spot) mondiaux de l’uranium étaient à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34.70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dollars par livre d’oxyde (US$/lbU3O8). En fin d’année, les prix spot étaient à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20.25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$US, correspondant à une baisse de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41.6%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sur l’année 2016. En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2017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, les prix spot ont continué à chuter de </w:t>
      </w:r>
      <w:r w:rsidRPr="00EA4D2A">
        <w:rPr>
          <w:rFonts w:eastAsia="Times New Roman" w:cs="Times New Roman"/>
          <w:i/>
          <w:sz w:val="28"/>
          <w:szCs w:val="28"/>
          <w:lang w:eastAsia="fr-FR"/>
        </w:rPr>
        <w:t>24.50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 en janvier à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22.</w:t>
      </w:r>
      <w:r w:rsidR="00F378F3">
        <w:rPr>
          <w:rFonts w:eastAsia="Times New Roman" w:cs="Times New Roman"/>
          <w:i/>
          <w:sz w:val="28"/>
          <w:szCs w:val="28"/>
          <w:lang w:eastAsia="fr-FR"/>
        </w:rPr>
        <w:t>75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 en </w:t>
      </w:r>
      <w:r w:rsidR="00F378F3" w:rsidRPr="00F378F3">
        <w:rPr>
          <w:rFonts w:eastAsia="Times New Roman" w:cs="Times New Roman"/>
          <w:i/>
          <w:sz w:val="28"/>
          <w:szCs w:val="28"/>
          <w:lang w:eastAsia="fr-FR"/>
        </w:rPr>
        <w:t>mai</w:t>
      </w:r>
      <w:r w:rsidRPr="00592D56">
        <w:rPr>
          <w:rFonts w:eastAsia="Times New Roman" w:cs="Times New Roman"/>
          <w:sz w:val="28"/>
          <w:szCs w:val="28"/>
          <w:lang w:eastAsia="fr-FR"/>
        </w:rPr>
        <w:t>.</w:t>
      </w:r>
    </w:p>
    <w:p w:rsidR="00592D56" w:rsidRPr="00592D56" w:rsidRDefault="00592D56" w:rsidP="00592D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592D56" w:rsidRPr="00592D56" w:rsidRDefault="00592D56" w:rsidP="00592D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592D56">
        <w:rPr>
          <w:rFonts w:eastAsia="Times New Roman" w:cs="Times New Roman"/>
          <w:sz w:val="28"/>
          <w:szCs w:val="28"/>
          <w:lang w:eastAsia="fr-FR"/>
        </w:rPr>
        <w:t>Parallèlement, les indicateurs de contrats</w:t>
      </w:r>
      <w:r w:rsidR="0042243C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42243C">
        <w:rPr>
          <w:rFonts w:eastAsia="Times New Roman" w:cs="Times New Roman"/>
          <w:sz w:val="28"/>
          <w:szCs w:val="28"/>
          <w:lang w:eastAsia="fr-FR"/>
        </w:rPr>
        <w:t>multiannuels</w:t>
      </w:r>
      <w:proofErr w:type="spellEnd"/>
      <w:r w:rsidRPr="00592D56">
        <w:rPr>
          <w:rFonts w:eastAsia="Times New Roman" w:cs="Times New Roman"/>
          <w:sz w:val="28"/>
          <w:szCs w:val="28"/>
          <w:lang w:eastAsia="fr-FR"/>
        </w:rPr>
        <w:t xml:space="preserve"> à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long terme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(LT) ont chuté de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44.00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$US/lbU3O8 en janvier 2016 à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30.00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$US en décembre, soit une baisse de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31.8%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sur l’année. En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2017</w:t>
      </w:r>
      <w:r w:rsidRPr="00592D56">
        <w:rPr>
          <w:rFonts w:eastAsia="Times New Roman" w:cs="Times New Roman"/>
          <w:sz w:val="28"/>
          <w:szCs w:val="28"/>
          <w:lang w:eastAsia="fr-FR"/>
        </w:rPr>
        <w:t>, les prix à long terme sont en revanche reparti</w:t>
      </w:r>
      <w:r w:rsidR="00147584">
        <w:rPr>
          <w:rFonts w:eastAsia="Times New Roman" w:cs="Times New Roman"/>
          <w:sz w:val="28"/>
          <w:szCs w:val="28"/>
          <w:lang w:eastAsia="fr-FR"/>
        </w:rPr>
        <w:t>s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à la hausse avec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32.50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$ en janvier et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39.00 $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en avril, ce qui traduit une orientation des marchés vers une </w:t>
      </w:r>
      <w:r w:rsidRPr="0042243C">
        <w:rPr>
          <w:rFonts w:eastAsia="Times New Roman" w:cs="Times New Roman"/>
          <w:i/>
          <w:sz w:val="28"/>
          <w:szCs w:val="28"/>
          <w:lang w:eastAsia="fr-FR"/>
        </w:rPr>
        <w:t>remontée</w:t>
      </w:r>
      <w:r w:rsidRPr="00592D56">
        <w:rPr>
          <w:rFonts w:eastAsia="Times New Roman" w:cs="Times New Roman"/>
          <w:sz w:val="28"/>
          <w:szCs w:val="28"/>
          <w:lang w:eastAsia="fr-FR"/>
        </w:rPr>
        <w:t xml:space="preserve"> de la part de la production d’électricité nucléaire.  </w:t>
      </w:r>
    </w:p>
    <w:p w:rsidR="00592D56" w:rsidRPr="00DB4390" w:rsidRDefault="00592D56" w:rsidP="00592D56">
      <w:pPr>
        <w:pStyle w:val="Titre1"/>
        <w:rPr>
          <w:rFonts w:asciiTheme="minorHAnsi" w:hAnsiTheme="minorHAnsi"/>
          <w:color w:val="auto"/>
          <w:sz w:val="24"/>
          <w:szCs w:val="24"/>
          <w:u w:val="single"/>
        </w:rPr>
      </w:pPr>
      <w:r w:rsidRPr="00DB4390">
        <w:rPr>
          <w:rFonts w:asciiTheme="minorHAnsi" w:hAnsiTheme="minorHAnsi"/>
          <w:color w:val="auto"/>
          <w:sz w:val="24"/>
          <w:szCs w:val="24"/>
          <w:u w:val="single"/>
        </w:rPr>
        <w:t>Evolution des prix spot et à long-terme (LT) au cours de l’année 2016 ($US/lb U3O8)</w:t>
      </w:r>
    </w:p>
    <w:p w:rsidR="00EF186D" w:rsidRPr="00592D56" w:rsidRDefault="00147584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147584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486400" cy="3200400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186D" w:rsidRPr="00592D56" w:rsidRDefault="00EF186D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DA6CD4" w:rsidRDefault="00DA6CD4" w:rsidP="00DA6CD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952516" w:rsidRDefault="00955F85" w:rsidP="009525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DA6CD4">
        <w:rPr>
          <w:rFonts w:eastAsia="Times New Roman" w:cs="Times New Roman"/>
          <w:b/>
          <w:sz w:val="36"/>
          <w:szCs w:val="36"/>
          <w:lang w:eastAsia="fr-FR"/>
        </w:rPr>
        <w:t>Ressources en uranium</w:t>
      </w:r>
    </w:p>
    <w:p w:rsidR="004F20E1" w:rsidRPr="00DA6CD4" w:rsidRDefault="004F20E1" w:rsidP="009525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DA6CD4">
        <w:rPr>
          <w:rFonts w:eastAsia="Times New Roman" w:cs="Times New Roman"/>
          <w:sz w:val="28"/>
          <w:szCs w:val="28"/>
          <w:lang w:eastAsia="fr-FR"/>
        </w:rPr>
        <w:t xml:space="preserve">La  suffisance des ressources en uranium a été confirmée dans </w:t>
      </w:r>
      <w:r w:rsidR="00952516">
        <w:rPr>
          <w:rFonts w:eastAsia="Times New Roman" w:cs="Times New Roman"/>
          <w:sz w:val="28"/>
          <w:szCs w:val="28"/>
          <w:lang w:eastAsia="fr-FR"/>
        </w:rPr>
        <w:t>l</w:t>
      </w:r>
      <w:r w:rsidRPr="00DA6CD4">
        <w:rPr>
          <w:rFonts w:eastAsia="Times New Roman" w:cs="Times New Roman"/>
          <w:sz w:val="28"/>
          <w:szCs w:val="28"/>
          <w:lang w:eastAsia="fr-FR"/>
        </w:rPr>
        <w:t>e rapport publié en décembre 2016 par l’</w:t>
      </w:r>
      <w:r w:rsidRPr="00A04769">
        <w:rPr>
          <w:rFonts w:eastAsia="Times New Roman" w:cs="Times New Roman"/>
          <w:i/>
          <w:sz w:val="28"/>
          <w:szCs w:val="28"/>
          <w:lang w:eastAsia="fr-FR"/>
        </w:rPr>
        <w:t xml:space="preserve">Agence Internationale de l’Energie Atomique </w:t>
      </w:r>
      <w:r w:rsidRPr="00DA6CD4">
        <w:rPr>
          <w:rFonts w:eastAsia="Times New Roman" w:cs="Times New Roman"/>
          <w:sz w:val="28"/>
          <w:szCs w:val="28"/>
          <w:lang w:eastAsia="fr-FR"/>
        </w:rPr>
        <w:t>(AIEA) de l’ONU et l’</w:t>
      </w:r>
      <w:r w:rsidRPr="00A04769">
        <w:rPr>
          <w:rFonts w:eastAsia="Times New Roman" w:cs="Times New Roman"/>
          <w:i/>
          <w:sz w:val="28"/>
          <w:szCs w:val="28"/>
          <w:lang w:eastAsia="fr-FR"/>
        </w:rPr>
        <w:t>OCDE</w:t>
      </w:r>
      <w:r w:rsidR="0087053F">
        <w:rPr>
          <w:rFonts w:eastAsia="Times New Roman" w:cs="Times New Roman"/>
          <w:sz w:val="28"/>
          <w:szCs w:val="28"/>
          <w:lang w:eastAsia="fr-FR"/>
        </w:rPr>
        <w:t> :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le total des ressources d’uranium dans la catégorie de coûts 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d’exploitation </w:t>
      </w:r>
      <w:r w:rsidRPr="00DA6CD4">
        <w:rPr>
          <w:rFonts w:eastAsia="Times New Roman" w:cs="Times New Roman"/>
          <w:sz w:val="28"/>
          <w:szCs w:val="28"/>
          <w:lang w:eastAsia="fr-FR"/>
        </w:rPr>
        <w:t>mini</w:t>
      </w:r>
      <w:r w:rsidR="003360BF">
        <w:rPr>
          <w:rFonts w:eastAsia="Times New Roman" w:cs="Times New Roman"/>
          <w:sz w:val="28"/>
          <w:szCs w:val="28"/>
          <w:lang w:eastAsia="fr-FR"/>
        </w:rPr>
        <w:t>è</w:t>
      </w:r>
      <w:r w:rsidRPr="00DA6CD4">
        <w:rPr>
          <w:rFonts w:eastAsia="Times New Roman" w:cs="Times New Roman"/>
          <w:sz w:val="28"/>
          <w:szCs w:val="28"/>
          <w:lang w:eastAsia="fr-FR"/>
        </w:rPr>
        <w:t>r</w:t>
      </w:r>
      <w:r w:rsidR="003360BF">
        <w:rPr>
          <w:rFonts w:eastAsia="Times New Roman" w:cs="Times New Roman"/>
          <w:sz w:val="28"/>
          <w:szCs w:val="28"/>
          <w:lang w:eastAsia="fr-FR"/>
        </w:rPr>
        <w:t>e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estimés inférieurs à </w:t>
      </w:r>
      <w:r w:rsidRPr="00636EE4">
        <w:rPr>
          <w:rFonts w:eastAsia="Times New Roman" w:cs="Times New Roman"/>
          <w:i/>
          <w:sz w:val="28"/>
          <w:szCs w:val="28"/>
          <w:lang w:eastAsia="fr-FR"/>
        </w:rPr>
        <w:t>50 $US/lbU</w:t>
      </w:r>
      <w:r w:rsidRPr="00636EE4">
        <w:rPr>
          <w:rFonts w:eastAsia="Times New Roman" w:cs="Times New Roman"/>
          <w:i/>
          <w:sz w:val="24"/>
          <w:szCs w:val="24"/>
          <w:lang w:eastAsia="fr-FR"/>
        </w:rPr>
        <w:t>3</w:t>
      </w:r>
      <w:r w:rsidRPr="00636EE4">
        <w:rPr>
          <w:rFonts w:eastAsia="Times New Roman" w:cs="Times New Roman"/>
          <w:i/>
          <w:sz w:val="28"/>
          <w:szCs w:val="28"/>
          <w:lang w:eastAsia="fr-FR"/>
        </w:rPr>
        <w:t>O</w:t>
      </w:r>
      <w:r w:rsidRPr="00636EE4">
        <w:rPr>
          <w:rFonts w:eastAsia="Times New Roman" w:cs="Times New Roman"/>
          <w:i/>
          <w:sz w:val="24"/>
          <w:szCs w:val="24"/>
          <w:lang w:eastAsia="fr-FR"/>
        </w:rPr>
        <w:t>8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s’élève à </w:t>
      </w:r>
      <w:r w:rsidRPr="00636EE4">
        <w:rPr>
          <w:rFonts w:eastAsia="Times New Roman" w:cs="Times New Roman"/>
          <w:i/>
          <w:sz w:val="28"/>
          <w:szCs w:val="28"/>
          <w:lang w:eastAsia="fr-FR"/>
        </w:rPr>
        <w:t>5 718 400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tonnes d’uranium métal (</w:t>
      </w:r>
      <w:proofErr w:type="spellStart"/>
      <w:r w:rsidRPr="00DA6CD4">
        <w:rPr>
          <w:rFonts w:eastAsia="Times New Roman" w:cs="Times New Roman"/>
          <w:sz w:val="28"/>
          <w:szCs w:val="28"/>
          <w:lang w:eastAsia="fr-FR"/>
        </w:rPr>
        <w:t>tU</w:t>
      </w:r>
      <w:proofErr w:type="spellEnd"/>
      <w:r w:rsidRPr="00DA6CD4">
        <w:rPr>
          <w:rFonts w:eastAsia="Times New Roman" w:cs="Times New Roman"/>
          <w:sz w:val="28"/>
          <w:szCs w:val="28"/>
          <w:lang w:eastAsia="fr-FR"/>
        </w:rPr>
        <w:t xml:space="preserve">). </w:t>
      </w:r>
    </w:p>
    <w:p w:rsidR="004F20E1" w:rsidRPr="00DA6CD4" w:rsidRDefault="004F20E1" w:rsidP="009525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4F20E1" w:rsidRPr="00DA6CD4" w:rsidRDefault="004F20E1" w:rsidP="009525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DA6CD4">
        <w:rPr>
          <w:rFonts w:eastAsia="Times New Roman" w:cs="Times New Roman"/>
          <w:sz w:val="28"/>
          <w:szCs w:val="28"/>
          <w:lang w:eastAsia="fr-FR"/>
        </w:rPr>
        <w:lastRenderedPageBreak/>
        <w:t xml:space="preserve">Ces ressources équivalent à </w:t>
      </w:r>
      <w:r w:rsidR="00750426">
        <w:rPr>
          <w:rFonts w:eastAsia="Times New Roman" w:cs="Times New Roman"/>
          <w:i/>
          <w:sz w:val="28"/>
          <w:szCs w:val="28"/>
          <w:lang w:eastAsia="fr-FR"/>
        </w:rPr>
        <w:t>84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 xml:space="preserve"> ans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des besoins mondiaux actuels.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Des ressources ont été identifiées dans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37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pays différents et 98% d’entre elles sont concentrés dans 25 pays. Les 4 premiers pays</w:t>
      </w:r>
      <w:r w:rsidR="003360BF">
        <w:rPr>
          <w:rFonts w:eastAsia="Times New Roman" w:cs="Times New Roman"/>
          <w:sz w:val="28"/>
          <w:szCs w:val="28"/>
          <w:lang w:eastAsia="fr-FR"/>
        </w:rPr>
        <w:t>,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Australie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 (29%)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Kazakhstan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 (13%)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="003360BF" w:rsidRPr="00750426">
        <w:rPr>
          <w:rFonts w:eastAsia="Times New Roman" w:cs="Times New Roman"/>
          <w:i/>
          <w:sz w:val="28"/>
          <w:szCs w:val="28"/>
          <w:lang w:eastAsia="fr-FR"/>
        </w:rPr>
        <w:t>Canada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 (9%), et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Russie</w:t>
      </w:r>
      <w:r w:rsidR="003360BF">
        <w:rPr>
          <w:rFonts w:eastAsia="Times New Roman" w:cs="Times New Roman"/>
          <w:sz w:val="28"/>
          <w:szCs w:val="28"/>
          <w:lang w:eastAsia="fr-FR"/>
        </w:rPr>
        <w:t xml:space="preserve"> (9%)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, concentrent à eux seuls plus de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56%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des ressources globales, suivis par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Niger, Namibie, Afrique du Sud, Brésil, Etats-Unis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 et </w:t>
      </w:r>
      <w:r w:rsidRPr="00750426">
        <w:rPr>
          <w:rFonts w:eastAsia="Times New Roman" w:cs="Times New Roman"/>
          <w:i/>
          <w:sz w:val="28"/>
          <w:szCs w:val="28"/>
          <w:lang w:eastAsia="fr-FR"/>
        </w:rPr>
        <w:t>Chine</w:t>
      </w:r>
      <w:r w:rsidRPr="00DA6CD4">
        <w:rPr>
          <w:rFonts w:eastAsia="Times New Roman" w:cs="Times New Roman"/>
          <w:sz w:val="28"/>
          <w:szCs w:val="28"/>
          <w:lang w:eastAsia="fr-FR"/>
        </w:rPr>
        <w:t xml:space="preserve">. </w:t>
      </w:r>
    </w:p>
    <w:p w:rsidR="004F20E1" w:rsidRPr="00DA6CD4" w:rsidRDefault="004F20E1" w:rsidP="009525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3360BF" w:rsidRDefault="003360BF" w:rsidP="00DA6CD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4F20E1" w:rsidRDefault="004F20E1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4F20E1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486400" cy="3200400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5F85" w:rsidRDefault="00955F85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955F85" w:rsidRPr="00A541C1" w:rsidRDefault="00045B7D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45B7D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760720" cy="336042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FA" w:rsidRDefault="00FC3EFA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</w:p>
    <w:p w:rsidR="00FC3EFA" w:rsidRDefault="00FC3EFA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</w:p>
    <w:p w:rsidR="00FC3EFA" w:rsidRPr="00045B7D" w:rsidRDefault="00FC3EFA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45B7D">
        <w:rPr>
          <w:rFonts w:eastAsia="Times New Roman" w:cs="Times New Roman"/>
          <w:b/>
          <w:sz w:val="36"/>
          <w:szCs w:val="36"/>
          <w:lang w:eastAsia="fr-FR"/>
        </w:rPr>
        <w:t>Production</w:t>
      </w:r>
      <w:r w:rsidR="002D3242">
        <w:rPr>
          <w:rFonts w:eastAsia="Times New Roman" w:cs="Times New Roman"/>
          <w:b/>
          <w:sz w:val="36"/>
          <w:szCs w:val="36"/>
          <w:lang w:eastAsia="fr-FR"/>
        </w:rPr>
        <w:t xml:space="preserve"> d’uranium</w:t>
      </w:r>
    </w:p>
    <w:p w:rsidR="00E3584B" w:rsidRDefault="00D648DD" w:rsidP="005D7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3360BF">
        <w:rPr>
          <w:rFonts w:eastAsia="Times New Roman" w:cs="Times New Roman"/>
          <w:sz w:val="28"/>
          <w:szCs w:val="28"/>
          <w:lang w:eastAsia="fr-FR"/>
        </w:rPr>
        <w:t xml:space="preserve">La production mondiale de </w:t>
      </w:r>
      <w:r w:rsidRPr="00C45EFE">
        <w:rPr>
          <w:rFonts w:eastAsia="Times New Roman" w:cs="Times New Roman"/>
          <w:i/>
          <w:sz w:val="28"/>
          <w:szCs w:val="28"/>
          <w:lang w:eastAsia="fr-FR"/>
        </w:rPr>
        <w:t>201</w:t>
      </w:r>
      <w:r w:rsidR="00496FDA">
        <w:rPr>
          <w:rFonts w:eastAsia="Times New Roman" w:cs="Times New Roman"/>
          <w:i/>
          <w:sz w:val="28"/>
          <w:szCs w:val="28"/>
          <w:lang w:eastAsia="fr-FR"/>
        </w:rPr>
        <w:t>6</w:t>
      </w:r>
      <w:r w:rsidRPr="003360BF">
        <w:rPr>
          <w:rFonts w:eastAsia="Times New Roman" w:cs="Times New Roman"/>
          <w:sz w:val="28"/>
          <w:szCs w:val="28"/>
          <w:lang w:eastAsia="fr-FR"/>
        </w:rPr>
        <w:t xml:space="preserve"> a été de </w:t>
      </w:r>
      <w:r w:rsidR="00496FDA" w:rsidRPr="00496FDA">
        <w:rPr>
          <w:rFonts w:eastAsia="Times New Roman" w:cs="Times New Roman"/>
          <w:i/>
          <w:sz w:val="28"/>
          <w:szCs w:val="28"/>
          <w:lang w:eastAsia="fr-FR"/>
        </w:rPr>
        <w:t>62 850</w:t>
      </w:r>
      <w:r w:rsidRPr="003360BF">
        <w:rPr>
          <w:rFonts w:eastAsia="Times New Roman" w:cs="Times New Roman"/>
          <w:sz w:val="28"/>
          <w:szCs w:val="28"/>
          <w:lang w:eastAsia="fr-FR"/>
        </w:rPr>
        <w:t xml:space="preserve"> tonnes d’uranium (</w:t>
      </w:r>
      <w:proofErr w:type="spellStart"/>
      <w:r w:rsidRPr="003360BF">
        <w:rPr>
          <w:rFonts w:eastAsia="Times New Roman" w:cs="Times New Roman"/>
          <w:sz w:val="28"/>
          <w:szCs w:val="28"/>
          <w:lang w:eastAsia="fr-FR"/>
        </w:rPr>
        <w:t>tU</w:t>
      </w:r>
      <w:proofErr w:type="spellEnd"/>
      <w:r w:rsidRPr="003360BF">
        <w:rPr>
          <w:rFonts w:eastAsia="Times New Roman" w:cs="Times New Roman"/>
          <w:sz w:val="28"/>
          <w:szCs w:val="28"/>
          <w:lang w:eastAsia="fr-FR"/>
        </w:rPr>
        <w:t xml:space="preserve">) à partir de </w:t>
      </w:r>
      <w:r w:rsidRPr="009D69AD">
        <w:rPr>
          <w:rFonts w:eastAsia="Times New Roman" w:cs="Times New Roman"/>
          <w:i/>
          <w:sz w:val="28"/>
          <w:szCs w:val="28"/>
          <w:lang w:eastAsia="fr-FR"/>
        </w:rPr>
        <w:t>16 pays</w:t>
      </w:r>
      <w:r w:rsidRPr="003360BF">
        <w:rPr>
          <w:rFonts w:eastAsia="Times New Roman" w:cs="Times New Roman"/>
          <w:sz w:val="28"/>
          <w:szCs w:val="28"/>
          <w:lang w:eastAsia="fr-FR"/>
        </w:rPr>
        <w:t xml:space="preserve">. </w:t>
      </w:r>
      <w:r w:rsidR="00C26095">
        <w:rPr>
          <w:rFonts w:eastAsia="Times New Roman" w:cs="Times New Roman"/>
          <w:sz w:val="28"/>
          <w:szCs w:val="28"/>
          <w:lang w:eastAsia="fr-FR"/>
        </w:rPr>
        <w:t xml:space="preserve">Plus des 2/3 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de</w:t>
      </w:r>
      <w:r>
        <w:rPr>
          <w:rFonts w:eastAsia="Times New Roman" w:cs="Times New Roman"/>
          <w:sz w:val="28"/>
          <w:szCs w:val="28"/>
          <w:lang w:eastAsia="fr-FR"/>
        </w:rPr>
        <w:t xml:space="preserve"> cette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 xml:space="preserve"> production proviennent de </w:t>
      </w:r>
      <w:r w:rsidR="00E61B84" w:rsidRPr="00E61B84">
        <w:rPr>
          <w:rFonts w:eastAsia="Times New Roman" w:cs="Times New Roman"/>
          <w:i/>
          <w:sz w:val="28"/>
          <w:szCs w:val="28"/>
          <w:lang w:eastAsia="fr-FR"/>
        </w:rPr>
        <w:t>3</w:t>
      </w:r>
      <w:r w:rsidR="00045B7D" w:rsidRPr="00E61B84">
        <w:rPr>
          <w:rFonts w:eastAsia="Times New Roman" w:cs="Times New Roman"/>
          <w:i/>
          <w:sz w:val="28"/>
          <w:szCs w:val="28"/>
          <w:lang w:eastAsia="fr-FR"/>
        </w:rPr>
        <w:t xml:space="preserve"> pays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 xml:space="preserve"> : Kazakhstan</w:t>
      </w:r>
      <w:r w:rsidR="0035028A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E61B84">
        <w:rPr>
          <w:rFonts w:eastAsia="Times New Roman" w:cs="Times New Roman"/>
          <w:sz w:val="28"/>
          <w:szCs w:val="28"/>
          <w:lang w:eastAsia="fr-FR"/>
        </w:rPr>
        <w:t>39</w:t>
      </w:r>
      <w:r w:rsidR="0035028A">
        <w:rPr>
          <w:rFonts w:eastAsia="Times New Roman" w:cs="Times New Roman"/>
          <w:sz w:val="28"/>
          <w:szCs w:val="28"/>
          <w:lang w:eastAsia="fr-FR"/>
        </w:rPr>
        <w:t>%)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, Canada</w:t>
      </w:r>
      <w:r w:rsidR="0035028A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E61B84">
        <w:rPr>
          <w:rFonts w:eastAsia="Times New Roman" w:cs="Times New Roman"/>
          <w:sz w:val="28"/>
          <w:szCs w:val="28"/>
          <w:lang w:eastAsia="fr-FR"/>
        </w:rPr>
        <w:t>22</w:t>
      </w:r>
      <w:r w:rsidR="0035028A">
        <w:rPr>
          <w:rFonts w:eastAsia="Times New Roman" w:cs="Times New Roman"/>
          <w:sz w:val="28"/>
          <w:szCs w:val="28"/>
          <w:lang w:eastAsia="fr-FR"/>
        </w:rPr>
        <w:t>%)</w:t>
      </w:r>
      <w:r w:rsidR="00E61B84">
        <w:rPr>
          <w:rFonts w:eastAsia="Times New Roman" w:cs="Times New Roman"/>
          <w:sz w:val="28"/>
          <w:szCs w:val="28"/>
          <w:lang w:eastAsia="fr-FR"/>
        </w:rPr>
        <w:t xml:space="preserve"> et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 xml:space="preserve"> Australie</w:t>
      </w:r>
      <w:r w:rsidR="0035028A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E61B84">
        <w:rPr>
          <w:rFonts w:eastAsia="Times New Roman" w:cs="Times New Roman"/>
          <w:sz w:val="28"/>
          <w:szCs w:val="28"/>
          <w:lang w:eastAsia="fr-FR"/>
        </w:rPr>
        <w:t>10</w:t>
      </w:r>
      <w:r w:rsidR="0035028A">
        <w:rPr>
          <w:rFonts w:eastAsia="Times New Roman" w:cs="Times New Roman"/>
          <w:sz w:val="28"/>
          <w:szCs w:val="28"/>
          <w:lang w:eastAsia="fr-FR"/>
        </w:rPr>
        <w:t>%)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.</w:t>
      </w:r>
      <w:r w:rsidR="00773188">
        <w:rPr>
          <w:rFonts w:eastAsia="Times New Roman" w:cs="Times New Roman"/>
          <w:sz w:val="28"/>
          <w:szCs w:val="28"/>
          <w:lang w:eastAsia="fr-FR"/>
        </w:rPr>
        <w:t xml:space="preserve"> Les suivants sont 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E61B84">
        <w:rPr>
          <w:rFonts w:eastAsia="Times New Roman" w:cs="Times New Roman"/>
          <w:sz w:val="28"/>
          <w:szCs w:val="28"/>
          <w:lang w:eastAsia="fr-FR"/>
        </w:rPr>
        <w:t xml:space="preserve">le Niger, </w:t>
      </w:r>
      <w:r w:rsidR="00FC6FB3">
        <w:rPr>
          <w:rFonts w:eastAsia="Times New Roman" w:cs="Times New Roman"/>
          <w:sz w:val="28"/>
          <w:szCs w:val="28"/>
          <w:lang w:eastAsia="fr-FR"/>
        </w:rPr>
        <w:t xml:space="preserve">la 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Namibie</w:t>
      </w:r>
      <w:r w:rsidR="007255BC"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="007175FB">
        <w:rPr>
          <w:rFonts w:eastAsia="Times New Roman" w:cs="Times New Roman"/>
          <w:sz w:val="28"/>
          <w:szCs w:val="28"/>
          <w:lang w:eastAsia="fr-FR"/>
        </w:rPr>
        <w:t xml:space="preserve">la </w:t>
      </w:r>
      <w:r w:rsidR="007175FB" w:rsidRPr="003360BF">
        <w:rPr>
          <w:rFonts w:eastAsia="Times New Roman" w:cs="Times New Roman"/>
          <w:sz w:val="28"/>
          <w:szCs w:val="28"/>
          <w:lang w:eastAsia="fr-FR"/>
        </w:rPr>
        <w:t xml:space="preserve">Russie, </w:t>
      </w:r>
      <w:r w:rsidR="00FC6FB3">
        <w:rPr>
          <w:rFonts w:eastAsia="Times New Roman" w:cs="Times New Roman"/>
          <w:sz w:val="28"/>
          <w:szCs w:val="28"/>
          <w:lang w:eastAsia="fr-FR"/>
        </w:rPr>
        <w:t>l’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Ouzbékistan</w:t>
      </w:r>
      <w:r w:rsidR="007255BC">
        <w:rPr>
          <w:rFonts w:eastAsia="Times New Roman" w:cs="Times New Roman"/>
          <w:sz w:val="28"/>
          <w:szCs w:val="28"/>
          <w:lang w:eastAsia="fr-FR"/>
        </w:rPr>
        <w:t xml:space="preserve"> et </w:t>
      </w:r>
      <w:r w:rsidR="00FC6FB3">
        <w:rPr>
          <w:rFonts w:eastAsia="Times New Roman" w:cs="Times New Roman"/>
          <w:sz w:val="28"/>
          <w:szCs w:val="28"/>
          <w:lang w:eastAsia="fr-FR"/>
        </w:rPr>
        <w:t xml:space="preserve">la </w:t>
      </w:r>
      <w:r w:rsidR="007255BC">
        <w:rPr>
          <w:rFonts w:eastAsia="Times New Roman" w:cs="Times New Roman"/>
          <w:sz w:val="28"/>
          <w:szCs w:val="28"/>
          <w:lang w:eastAsia="fr-FR"/>
        </w:rPr>
        <w:t>Chine</w:t>
      </w:r>
      <w:r w:rsidR="00045B7D" w:rsidRPr="003360BF">
        <w:rPr>
          <w:rFonts w:eastAsia="Times New Roman" w:cs="Times New Roman"/>
          <w:sz w:val="28"/>
          <w:szCs w:val="28"/>
          <w:lang w:eastAsia="fr-FR"/>
        </w:rPr>
        <w:t>.</w:t>
      </w:r>
      <w:r w:rsidR="005D7320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7175FB">
        <w:rPr>
          <w:rFonts w:eastAsia="Times New Roman" w:cs="Times New Roman"/>
          <w:sz w:val="28"/>
          <w:szCs w:val="28"/>
          <w:lang w:eastAsia="fr-FR"/>
        </w:rPr>
        <w:t xml:space="preserve">La diversité géographique et géopolitique de ces pays constitue un gage de sécurité d’approvisionnement pour les pays consommateurs. </w:t>
      </w:r>
    </w:p>
    <w:p w:rsidR="00E3584B" w:rsidRDefault="00E3584B" w:rsidP="005D7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045B7D" w:rsidRDefault="005D7320" w:rsidP="005D7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sz w:val="28"/>
          <w:szCs w:val="28"/>
          <w:lang w:eastAsia="fr-FR"/>
        </w:rPr>
        <w:t xml:space="preserve">Cette production correspond à </w:t>
      </w:r>
      <w:r w:rsidR="007175FB">
        <w:rPr>
          <w:rFonts w:eastAsia="Times New Roman" w:cs="Times New Roman"/>
          <w:sz w:val="28"/>
          <w:szCs w:val="28"/>
          <w:lang w:eastAsia="fr-FR"/>
        </w:rPr>
        <w:t>92</w:t>
      </w:r>
      <w:r>
        <w:rPr>
          <w:rFonts w:eastAsia="Times New Roman" w:cs="Times New Roman"/>
          <w:sz w:val="28"/>
          <w:szCs w:val="28"/>
          <w:lang w:eastAsia="fr-FR"/>
        </w:rPr>
        <w:t>% de la consommation actuelle.</w:t>
      </w:r>
      <w:r w:rsidR="00E3584B">
        <w:rPr>
          <w:rFonts w:eastAsia="Times New Roman" w:cs="Times New Roman"/>
          <w:sz w:val="28"/>
          <w:szCs w:val="28"/>
          <w:lang w:eastAsia="fr-FR"/>
        </w:rPr>
        <w:t xml:space="preserve"> Les exploitations sont conduites p</w:t>
      </w:r>
      <w:r w:rsidR="00652CF8">
        <w:rPr>
          <w:rFonts w:eastAsia="Times New Roman" w:cs="Times New Roman"/>
          <w:sz w:val="28"/>
          <w:szCs w:val="28"/>
          <w:lang w:eastAsia="fr-FR"/>
        </w:rPr>
        <w:t>our</w:t>
      </w:r>
      <w:r w:rsidR="00E3584B">
        <w:rPr>
          <w:rFonts w:eastAsia="Times New Roman" w:cs="Times New Roman"/>
          <w:sz w:val="28"/>
          <w:szCs w:val="28"/>
          <w:lang w:eastAsia="fr-FR"/>
        </w:rPr>
        <w:t xml:space="preserve"> moitié</w:t>
      </w:r>
      <w:r w:rsidR="00652CF8">
        <w:rPr>
          <w:rFonts w:eastAsia="Times New Roman" w:cs="Times New Roman"/>
          <w:sz w:val="28"/>
          <w:szCs w:val="28"/>
          <w:lang w:eastAsia="fr-FR"/>
        </w:rPr>
        <w:t>s</w:t>
      </w:r>
      <w:r w:rsidR="00E3584B">
        <w:rPr>
          <w:rFonts w:eastAsia="Times New Roman" w:cs="Times New Roman"/>
          <w:sz w:val="28"/>
          <w:szCs w:val="28"/>
          <w:lang w:eastAsia="fr-FR"/>
        </w:rPr>
        <w:t xml:space="preserve"> par méthodes minières </w:t>
      </w:r>
      <w:r w:rsidR="00652CF8">
        <w:rPr>
          <w:rFonts w:eastAsia="Times New Roman" w:cs="Times New Roman"/>
          <w:sz w:val="28"/>
          <w:szCs w:val="28"/>
          <w:lang w:eastAsia="fr-FR"/>
        </w:rPr>
        <w:t>traditio</w:t>
      </w:r>
      <w:r w:rsidR="00E3584B">
        <w:rPr>
          <w:rFonts w:eastAsia="Times New Roman" w:cs="Times New Roman"/>
          <w:sz w:val="28"/>
          <w:szCs w:val="28"/>
          <w:lang w:eastAsia="fr-FR"/>
        </w:rPr>
        <w:t>nnelles (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en </w:t>
      </w:r>
      <w:r w:rsidR="00E3584B">
        <w:rPr>
          <w:rFonts w:eastAsia="Times New Roman" w:cs="Times New Roman"/>
          <w:sz w:val="28"/>
          <w:szCs w:val="28"/>
          <w:lang w:eastAsia="fr-FR"/>
        </w:rPr>
        <w:t xml:space="preserve">carrière ou souterrain) et par lessivage </w:t>
      </w:r>
      <w:r w:rsidR="00F378F3">
        <w:rPr>
          <w:rFonts w:eastAsia="Times New Roman" w:cs="Times New Roman"/>
          <w:sz w:val="28"/>
          <w:szCs w:val="28"/>
          <w:lang w:eastAsia="fr-FR"/>
        </w:rPr>
        <w:t xml:space="preserve">de l’uranium </w:t>
      </w:r>
      <w:r w:rsidR="00E3584B">
        <w:rPr>
          <w:rFonts w:eastAsia="Times New Roman" w:cs="Times New Roman"/>
          <w:sz w:val="28"/>
          <w:szCs w:val="28"/>
          <w:lang w:eastAsia="fr-FR"/>
        </w:rPr>
        <w:t>en place</w:t>
      </w:r>
      <w:r w:rsidR="00F378F3">
        <w:rPr>
          <w:rFonts w:eastAsia="Times New Roman" w:cs="Times New Roman"/>
          <w:sz w:val="28"/>
          <w:szCs w:val="28"/>
          <w:lang w:eastAsia="fr-FR"/>
        </w:rPr>
        <w:t xml:space="preserve"> dans la roche</w:t>
      </w:r>
      <w:r w:rsidR="00E3584B">
        <w:rPr>
          <w:rFonts w:eastAsia="Times New Roman" w:cs="Times New Roman"/>
          <w:sz w:val="28"/>
          <w:szCs w:val="28"/>
          <w:lang w:eastAsia="fr-FR"/>
        </w:rPr>
        <w:t xml:space="preserve"> (</w:t>
      </w:r>
      <w:r w:rsidR="00E3584B" w:rsidRPr="00652CF8">
        <w:rPr>
          <w:rFonts w:eastAsia="Times New Roman" w:cs="Times New Roman"/>
          <w:i/>
          <w:sz w:val="28"/>
          <w:szCs w:val="28"/>
          <w:lang w:eastAsia="fr-FR"/>
        </w:rPr>
        <w:t>ISL</w:t>
      </w:r>
      <w:r w:rsidR="00E3584B">
        <w:rPr>
          <w:rFonts w:eastAsia="Times New Roman" w:cs="Times New Roman"/>
          <w:sz w:val="28"/>
          <w:szCs w:val="28"/>
          <w:lang w:eastAsia="fr-FR"/>
        </w:rPr>
        <w:t>).</w:t>
      </w:r>
    </w:p>
    <w:p w:rsidR="005D7320" w:rsidRPr="003360BF" w:rsidRDefault="005D7320" w:rsidP="005D7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045B7D" w:rsidRPr="003360BF" w:rsidRDefault="00045B7D" w:rsidP="005D7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3360BF">
        <w:rPr>
          <w:rFonts w:eastAsia="Times New Roman" w:cs="Times New Roman"/>
          <w:sz w:val="28"/>
          <w:szCs w:val="28"/>
          <w:lang w:eastAsia="fr-FR"/>
        </w:rPr>
        <w:t xml:space="preserve">En </w:t>
      </w:r>
      <w:r w:rsidRPr="00652CF8">
        <w:rPr>
          <w:rFonts w:eastAsia="Times New Roman" w:cs="Times New Roman"/>
          <w:i/>
          <w:sz w:val="28"/>
          <w:szCs w:val="28"/>
          <w:lang w:eastAsia="fr-FR"/>
        </w:rPr>
        <w:t>201</w:t>
      </w:r>
      <w:r w:rsidR="00652CF8" w:rsidRPr="00652CF8">
        <w:rPr>
          <w:rFonts w:eastAsia="Times New Roman" w:cs="Times New Roman"/>
          <w:i/>
          <w:sz w:val="28"/>
          <w:szCs w:val="28"/>
          <w:lang w:eastAsia="fr-FR"/>
        </w:rPr>
        <w:t>6</w:t>
      </w:r>
      <w:r w:rsidRPr="003360BF">
        <w:rPr>
          <w:rFonts w:eastAsia="Times New Roman" w:cs="Times New Roman"/>
          <w:sz w:val="28"/>
          <w:szCs w:val="28"/>
          <w:lang w:eastAsia="fr-FR"/>
        </w:rPr>
        <w:t>, le Kazakhstan a produit</w:t>
      </w:r>
      <w:r w:rsidR="007255BC">
        <w:rPr>
          <w:rFonts w:eastAsia="Times New Roman" w:cs="Times New Roman"/>
          <w:sz w:val="28"/>
          <w:szCs w:val="28"/>
          <w:lang w:eastAsia="fr-FR"/>
        </w:rPr>
        <w:t xml:space="preserve"> à lui seul</w:t>
      </w:r>
      <w:r w:rsidRPr="003360BF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F378F3">
        <w:rPr>
          <w:rFonts w:eastAsia="Times New Roman" w:cs="Times New Roman"/>
          <w:i/>
          <w:sz w:val="28"/>
          <w:szCs w:val="28"/>
          <w:lang w:eastAsia="fr-FR"/>
        </w:rPr>
        <w:t>2</w:t>
      </w:r>
      <w:r w:rsidR="00652CF8" w:rsidRPr="00F378F3">
        <w:rPr>
          <w:rFonts w:eastAsia="Times New Roman" w:cs="Times New Roman"/>
          <w:i/>
          <w:sz w:val="28"/>
          <w:szCs w:val="28"/>
          <w:lang w:eastAsia="fr-FR"/>
        </w:rPr>
        <w:t>4</w:t>
      </w:r>
      <w:r w:rsidRPr="00F378F3">
        <w:rPr>
          <w:rFonts w:eastAsia="Times New Roman" w:cs="Times New Roman"/>
          <w:i/>
          <w:sz w:val="28"/>
          <w:szCs w:val="28"/>
          <w:lang w:eastAsia="fr-FR"/>
        </w:rPr>
        <w:t> </w:t>
      </w:r>
      <w:r w:rsidR="00652CF8" w:rsidRPr="00F378F3">
        <w:rPr>
          <w:rFonts w:eastAsia="Times New Roman" w:cs="Times New Roman"/>
          <w:i/>
          <w:sz w:val="28"/>
          <w:szCs w:val="28"/>
          <w:lang w:eastAsia="fr-FR"/>
        </w:rPr>
        <w:t>575</w:t>
      </w:r>
      <w:r w:rsidRPr="003360BF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Pr="003360BF">
        <w:rPr>
          <w:rFonts w:eastAsia="Times New Roman" w:cs="Times New Roman"/>
          <w:sz w:val="28"/>
          <w:szCs w:val="28"/>
          <w:lang w:eastAsia="fr-FR"/>
        </w:rPr>
        <w:t>tU</w:t>
      </w:r>
      <w:proofErr w:type="spellEnd"/>
      <w:r w:rsidRPr="003360BF">
        <w:rPr>
          <w:rFonts w:eastAsia="Times New Roman" w:cs="Times New Roman"/>
          <w:sz w:val="28"/>
          <w:szCs w:val="28"/>
          <w:lang w:eastAsia="fr-FR"/>
        </w:rPr>
        <w:t xml:space="preserve">, de loin la plus grosse part </w:t>
      </w:r>
      <w:r w:rsidR="00652CF8">
        <w:rPr>
          <w:rFonts w:eastAsia="Times New Roman" w:cs="Times New Roman"/>
          <w:sz w:val="28"/>
          <w:szCs w:val="28"/>
          <w:lang w:eastAsia="fr-FR"/>
        </w:rPr>
        <w:t>(</w:t>
      </w:r>
      <w:r w:rsidR="00652CF8" w:rsidRPr="00652CF8">
        <w:rPr>
          <w:rFonts w:eastAsia="Times New Roman" w:cs="Times New Roman"/>
          <w:i/>
          <w:sz w:val="28"/>
          <w:szCs w:val="28"/>
          <w:lang w:eastAsia="fr-FR"/>
        </w:rPr>
        <w:t>39%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) </w:t>
      </w:r>
      <w:r w:rsidRPr="003360BF">
        <w:rPr>
          <w:rFonts w:eastAsia="Times New Roman" w:cs="Times New Roman"/>
          <w:sz w:val="28"/>
          <w:szCs w:val="28"/>
          <w:lang w:eastAsia="fr-FR"/>
        </w:rPr>
        <w:t>de l’uranium extrait de terre</w:t>
      </w:r>
      <w:r w:rsidR="007255BC">
        <w:rPr>
          <w:rFonts w:eastAsia="Times New Roman" w:cs="Times New Roman"/>
          <w:sz w:val="28"/>
          <w:szCs w:val="28"/>
          <w:lang w:eastAsia="fr-FR"/>
        </w:rPr>
        <w:t xml:space="preserve"> dans le monde</w:t>
      </w:r>
      <w:r w:rsidRPr="003360BF">
        <w:rPr>
          <w:rFonts w:eastAsia="Times New Roman" w:cs="Times New Roman"/>
          <w:sz w:val="28"/>
          <w:szCs w:val="28"/>
          <w:lang w:eastAsia="fr-FR"/>
        </w:rPr>
        <w:t>.</w:t>
      </w:r>
    </w:p>
    <w:p w:rsidR="00045B7D" w:rsidRPr="003360BF" w:rsidRDefault="00045B7D" w:rsidP="003360B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045B7D" w:rsidRDefault="00E33F67" w:rsidP="00045B7D">
      <w:pPr>
        <w:shd w:val="clear" w:color="auto" w:fill="FFFFFF"/>
        <w:jc w:val="both"/>
        <w:rPr>
          <w:rFonts w:ascii="Verdana" w:hAnsi="Verdana"/>
          <w:color w:val="984806" w:themeColor="accent6" w:themeShade="80"/>
          <w:sz w:val="20"/>
          <w:szCs w:val="20"/>
        </w:rPr>
      </w:pPr>
      <w:r w:rsidRPr="00E33F67">
        <w:rPr>
          <w:rFonts w:ascii="Verdana" w:hAnsi="Verdana"/>
          <w:noProof/>
          <w:color w:val="984806" w:themeColor="accent6" w:themeShade="80"/>
          <w:sz w:val="20"/>
          <w:szCs w:val="20"/>
          <w:lang w:eastAsia="fr-FR"/>
        </w:rPr>
        <w:drawing>
          <wp:inline distT="0" distB="0" distL="0" distR="0">
            <wp:extent cx="5486400" cy="3200400"/>
            <wp:effectExtent l="0" t="0" r="0" b="0"/>
            <wp:docPr id="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6846" w:rsidRDefault="00FE6846" w:rsidP="006B795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</w:p>
    <w:p w:rsidR="00FE6846" w:rsidRDefault="00FE6846" w:rsidP="007613A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FE6846">
        <w:rPr>
          <w:rFonts w:eastAsia="Times New Roman" w:cs="Times New Roman"/>
          <w:sz w:val="28"/>
          <w:szCs w:val="28"/>
          <w:lang w:eastAsia="fr-FR"/>
        </w:rPr>
        <w:t xml:space="preserve">Cependant, moins de la </w:t>
      </w:r>
      <w:r w:rsidRPr="00F378F3">
        <w:rPr>
          <w:rFonts w:eastAsia="Times New Roman" w:cs="Times New Roman"/>
          <w:i/>
          <w:sz w:val="28"/>
          <w:szCs w:val="28"/>
          <w:lang w:eastAsia="fr-FR"/>
        </w:rPr>
        <w:t>moitié</w:t>
      </w:r>
      <w:r w:rsidRPr="00FE6846">
        <w:rPr>
          <w:rFonts w:eastAsia="Times New Roman" w:cs="Times New Roman"/>
          <w:sz w:val="28"/>
          <w:szCs w:val="28"/>
          <w:lang w:eastAsia="fr-FR"/>
        </w:rPr>
        <w:t xml:space="preserve"> de la production 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mondiale </w:t>
      </w:r>
      <w:r w:rsidRPr="00FE6846">
        <w:rPr>
          <w:rFonts w:eastAsia="Times New Roman" w:cs="Times New Roman"/>
          <w:sz w:val="28"/>
          <w:szCs w:val="28"/>
          <w:lang w:eastAsia="fr-FR"/>
        </w:rPr>
        <w:t xml:space="preserve">actuelle est </w:t>
      </w:r>
      <w:r w:rsidRPr="00F378F3">
        <w:rPr>
          <w:rFonts w:eastAsia="Times New Roman" w:cs="Times New Roman"/>
          <w:i/>
          <w:sz w:val="28"/>
          <w:szCs w:val="28"/>
          <w:lang w:eastAsia="fr-FR"/>
        </w:rPr>
        <w:t xml:space="preserve">rentable </w:t>
      </w:r>
      <w:r w:rsidRPr="00FE6846">
        <w:rPr>
          <w:rFonts w:eastAsia="Times New Roman" w:cs="Times New Roman"/>
          <w:sz w:val="28"/>
          <w:szCs w:val="28"/>
          <w:lang w:eastAsia="fr-FR"/>
        </w:rPr>
        <w:t>aux prix pratiqués aujourd’hui</w:t>
      </w:r>
      <w:r>
        <w:rPr>
          <w:rFonts w:eastAsia="Times New Roman" w:cs="Times New Roman"/>
          <w:sz w:val="28"/>
          <w:szCs w:val="28"/>
          <w:lang w:eastAsia="fr-FR"/>
        </w:rPr>
        <w:t xml:space="preserve">. </w:t>
      </w:r>
      <w:r w:rsidR="00652CF8">
        <w:rPr>
          <w:rFonts w:eastAsia="Times New Roman" w:cs="Times New Roman"/>
          <w:sz w:val="28"/>
          <w:szCs w:val="28"/>
          <w:lang w:eastAsia="fr-FR"/>
        </w:rPr>
        <w:t>Le</w:t>
      </w:r>
      <w:r w:rsidRPr="00FE6846">
        <w:rPr>
          <w:rFonts w:eastAsia="Times New Roman" w:cs="Times New Roman"/>
          <w:sz w:val="28"/>
          <w:szCs w:val="28"/>
          <w:lang w:eastAsia="fr-FR"/>
        </w:rPr>
        <w:t>s contrats à long terme</w:t>
      </w:r>
      <w:r w:rsidR="007613A9">
        <w:rPr>
          <w:rFonts w:eastAsia="Times New Roman" w:cs="Times New Roman"/>
          <w:sz w:val="28"/>
          <w:szCs w:val="28"/>
          <w:lang w:eastAsia="fr-FR"/>
        </w:rPr>
        <w:t>,</w:t>
      </w:r>
      <w:r w:rsidRPr="00FE6846">
        <w:rPr>
          <w:rFonts w:eastAsia="Times New Roman" w:cs="Times New Roman"/>
          <w:sz w:val="28"/>
          <w:szCs w:val="28"/>
          <w:lang w:eastAsia="fr-FR"/>
        </w:rPr>
        <w:t xml:space="preserve"> conclus 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anciennement </w:t>
      </w:r>
      <w:r w:rsidRPr="00FE6846">
        <w:rPr>
          <w:rFonts w:eastAsia="Times New Roman" w:cs="Times New Roman"/>
          <w:sz w:val="28"/>
          <w:szCs w:val="28"/>
          <w:lang w:eastAsia="fr-FR"/>
        </w:rPr>
        <w:t>à des prix plus élevés</w:t>
      </w:r>
      <w:r w:rsidR="007613A9">
        <w:rPr>
          <w:rFonts w:eastAsia="Times New Roman" w:cs="Times New Roman"/>
          <w:sz w:val="28"/>
          <w:szCs w:val="28"/>
          <w:lang w:eastAsia="fr-FR"/>
        </w:rPr>
        <w:t>,</w:t>
      </w:r>
      <w:r w:rsidRPr="00FE6846">
        <w:rPr>
          <w:rFonts w:eastAsia="Times New Roman" w:cs="Times New Roman"/>
          <w:sz w:val="28"/>
          <w:szCs w:val="28"/>
          <w:lang w:eastAsia="fr-FR"/>
        </w:rPr>
        <w:t xml:space="preserve"> approch</w:t>
      </w:r>
      <w:r w:rsidR="00652CF8">
        <w:rPr>
          <w:rFonts w:eastAsia="Times New Roman" w:cs="Times New Roman"/>
          <w:sz w:val="28"/>
          <w:szCs w:val="28"/>
          <w:lang w:eastAsia="fr-FR"/>
        </w:rPr>
        <w:t>e</w:t>
      </w:r>
      <w:r w:rsidRPr="00FE6846">
        <w:rPr>
          <w:rFonts w:eastAsia="Times New Roman" w:cs="Times New Roman"/>
          <w:sz w:val="28"/>
          <w:szCs w:val="28"/>
          <w:lang w:eastAsia="fr-FR"/>
        </w:rPr>
        <w:t>nt de leur terme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 ; </w:t>
      </w:r>
      <w:r>
        <w:rPr>
          <w:rFonts w:eastAsia="Times New Roman" w:cs="Times New Roman"/>
          <w:sz w:val="28"/>
          <w:szCs w:val="28"/>
          <w:lang w:eastAsia="fr-FR"/>
        </w:rPr>
        <w:t xml:space="preserve">les producteurs devront </w:t>
      </w:r>
      <w:r w:rsidR="00652CF8">
        <w:rPr>
          <w:rFonts w:eastAsia="Times New Roman" w:cs="Times New Roman"/>
          <w:sz w:val="28"/>
          <w:szCs w:val="28"/>
          <w:lang w:eastAsia="fr-FR"/>
        </w:rPr>
        <w:t xml:space="preserve">par conséquent </w:t>
      </w:r>
      <w:r>
        <w:rPr>
          <w:rFonts w:eastAsia="Times New Roman" w:cs="Times New Roman"/>
          <w:sz w:val="28"/>
          <w:szCs w:val="28"/>
          <w:lang w:eastAsia="fr-FR"/>
        </w:rPr>
        <w:t xml:space="preserve">limiter leur production </w:t>
      </w:r>
      <w:r w:rsidR="007613A9">
        <w:rPr>
          <w:rFonts w:eastAsia="Times New Roman" w:cs="Times New Roman"/>
          <w:sz w:val="28"/>
          <w:szCs w:val="28"/>
          <w:lang w:eastAsia="fr-FR"/>
        </w:rPr>
        <w:t>s’ils veulent préserver la valeur de leurs compagnies.</w:t>
      </w:r>
    </w:p>
    <w:p w:rsidR="00F378F3" w:rsidRDefault="00F378F3" w:rsidP="0029477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326E89" w:rsidRDefault="005863DF" w:rsidP="0029477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sz w:val="28"/>
          <w:szCs w:val="28"/>
          <w:lang w:eastAsia="fr-FR"/>
        </w:rPr>
        <w:lastRenderedPageBreak/>
        <w:t>N</w:t>
      </w:r>
      <w:r w:rsidR="009D5205">
        <w:rPr>
          <w:rFonts w:eastAsia="Times New Roman" w:cs="Times New Roman"/>
          <w:sz w:val="28"/>
          <w:szCs w:val="28"/>
          <w:lang w:eastAsia="fr-FR"/>
        </w:rPr>
        <w:t>éanmoins, l</w:t>
      </w:r>
      <w:r>
        <w:rPr>
          <w:rFonts w:eastAsia="Times New Roman" w:cs="Times New Roman"/>
          <w:sz w:val="28"/>
          <w:szCs w:val="28"/>
          <w:lang w:eastAsia="fr-FR"/>
        </w:rPr>
        <w:t>a situation est en train de s’améliorer</w:t>
      </w:r>
      <w:r w:rsidR="009D5205">
        <w:rPr>
          <w:rFonts w:eastAsia="Times New Roman" w:cs="Times New Roman"/>
          <w:sz w:val="28"/>
          <w:szCs w:val="28"/>
          <w:lang w:eastAsia="fr-FR"/>
        </w:rPr>
        <w:t xml:space="preserve"> du fait de</w:t>
      </w:r>
      <w:r>
        <w:rPr>
          <w:rFonts w:eastAsia="Times New Roman" w:cs="Times New Roman"/>
          <w:sz w:val="28"/>
          <w:szCs w:val="28"/>
          <w:lang w:eastAsia="fr-FR"/>
        </w:rPr>
        <w:t xml:space="preserve"> la remise en route progressive des réacteurs japonais. Les fondamentaux du marché demeurent sains, car </w:t>
      </w:r>
      <w:r w:rsidR="009D5205" w:rsidRPr="00AD2BE4">
        <w:rPr>
          <w:rFonts w:eastAsia="Times New Roman" w:cs="Times New Roman"/>
          <w:i/>
          <w:sz w:val="28"/>
          <w:szCs w:val="28"/>
          <w:lang w:eastAsia="fr-FR"/>
        </w:rPr>
        <w:t>57</w:t>
      </w:r>
      <w:r w:rsidR="009D5205">
        <w:rPr>
          <w:rFonts w:eastAsia="Times New Roman" w:cs="Times New Roman"/>
          <w:sz w:val="28"/>
          <w:szCs w:val="28"/>
          <w:lang w:eastAsia="fr-FR"/>
        </w:rPr>
        <w:t xml:space="preserve"> nouveaux réacteurs </w:t>
      </w:r>
      <w:r>
        <w:rPr>
          <w:rFonts w:eastAsia="Times New Roman" w:cs="Times New Roman"/>
          <w:sz w:val="28"/>
          <w:szCs w:val="28"/>
          <w:lang w:eastAsia="fr-FR"/>
        </w:rPr>
        <w:t xml:space="preserve">sont </w:t>
      </w:r>
      <w:r w:rsidR="009D5205">
        <w:rPr>
          <w:rFonts w:eastAsia="Times New Roman" w:cs="Times New Roman"/>
          <w:sz w:val="28"/>
          <w:szCs w:val="28"/>
          <w:lang w:eastAsia="fr-FR"/>
        </w:rPr>
        <w:t>en cours de construction à travers le monde.</w:t>
      </w:r>
      <w:r>
        <w:rPr>
          <w:rFonts w:eastAsia="Times New Roman" w:cs="Times New Roman"/>
          <w:sz w:val="28"/>
          <w:szCs w:val="28"/>
          <w:lang w:eastAsia="fr-FR"/>
        </w:rPr>
        <w:t xml:space="preserve"> L</w:t>
      </w:r>
      <w:r w:rsidR="009D5205">
        <w:rPr>
          <w:rFonts w:eastAsia="Times New Roman" w:cs="Times New Roman"/>
          <w:sz w:val="28"/>
          <w:szCs w:val="28"/>
          <w:lang w:eastAsia="fr-FR"/>
        </w:rPr>
        <w:t xml:space="preserve">a nécessité d’une production électrique de base </w:t>
      </w:r>
      <w:proofErr w:type="spellStart"/>
      <w:r w:rsidR="009D5205">
        <w:rPr>
          <w:rFonts w:eastAsia="Times New Roman" w:cs="Times New Roman"/>
          <w:sz w:val="28"/>
          <w:szCs w:val="28"/>
          <w:lang w:eastAsia="fr-FR"/>
        </w:rPr>
        <w:t>décarbo</w:t>
      </w:r>
      <w:r w:rsidR="00AD2BE4">
        <w:rPr>
          <w:rFonts w:eastAsia="Times New Roman" w:cs="Times New Roman"/>
          <w:sz w:val="28"/>
          <w:szCs w:val="28"/>
          <w:lang w:eastAsia="fr-FR"/>
        </w:rPr>
        <w:t>n</w:t>
      </w:r>
      <w:r w:rsidR="009D5205">
        <w:rPr>
          <w:rFonts w:eastAsia="Times New Roman" w:cs="Times New Roman"/>
          <w:sz w:val="28"/>
          <w:szCs w:val="28"/>
          <w:lang w:eastAsia="fr-FR"/>
        </w:rPr>
        <w:t>ée</w:t>
      </w:r>
      <w:proofErr w:type="spellEnd"/>
      <w:r>
        <w:rPr>
          <w:rFonts w:eastAsia="Times New Roman" w:cs="Times New Roman"/>
          <w:sz w:val="28"/>
          <w:szCs w:val="28"/>
          <w:lang w:eastAsia="fr-FR"/>
        </w:rPr>
        <w:t xml:space="preserve"> et </w:t>
      </w:r>
      <w:r w:rsidR="00AD2BE4">
        <w:rPr>
          <w:rFonts w:eastAsia="Times New Roman" w:cs="Times New Roman"/>
          <w:sz w:val="28"/>
          <w:szCs w:val="28"/>
          <w:lang w:eastAsia="fr-FR"/>
        </w:rPr>
        <w:t xml:space="preserve">le besoin de </w:t>
      </w:r>
      <w:r w:rsidR="00B82AAE">
        <w:rPr>
          <w:rFonts w:eastAsia="Times New Roman" w:cs="Times New Roman"/>
          <w:sz w:val="28"/>
          <w:szCs w:val="28"/>
          <w:lang w:eastAsia="fr-FR"/>
        </w:rPr>
        <w:t>satisfaire une demande en électricité prévu</w:t>
      </w:r>
      <w:r w:rsidR="00E11F5E">
        <w:rPr>
          <w:rFonts w:eastAsia="Times New Roman" w:cs="Times New Roman"/>
          <w:sz w:val="28"/>
          <w:szCs w:val="28"/>
          <w:lang w:eastAsia="fr-FR"/>
        </w:rPr>
        <w:t>e</w:t>
      </w:r>
      <w:r w:rsidR="00B82AAE">
        <w:rPr>
          <w:rFonts w:eastAsia="Times New Roman" w:cs="Times New Roman"/>
          <w:sz w:val="28"/>
          <w:szCs w:val="28"/>
          <w:lang w:eastAsia="fr-FR"/>
        </w:rPr>
        <w:t xml:space="preserve"> s’accroître de 50% au cours des 20 années à venir</w:t>
      </w:r>
      <w:r>
        <w:rPr>
          <w:rFonts w:eastAsia="Times New Roman" w:cs="Times New Roman"/>
          <w:sz w:val="28"/>
          <w:szCs w:val="28"/>
          <w:lang w:eastAsia="fr-FR"/>
        </w:rPr>
        <w:t>, constituent des facteurs favorables</w:t>
      </w:r>
      <w:r w:rsidR="00B82AAE">
        <w:rPr>
          <w:rFonts w:eastAsia="Times New Roman" w:cs="Times New Roman"/>
          <w:sz w:val="28"/>
          <w:szCs w:val="28"/>
          <w:lang w:eastAsia="fr-FR"/>
        </w:rPr>
        <w:t>.</w:t>
      </w:r>
      <w:r w:rsidR="009D5205">
        <w:rPr>
          <w:rFonts w:eastAsia="Times New Roman" w:cs="Times New Roman"/>
          <w:sz w:val="28"/>
          <w:szCs w:val="28"/>
          <w:lang w:eastAsia="fr-FR"/>
        </w:rPr>
        <w:t xml:space="preserve"> </w:t>
      </w:r>
    </w:p>
    <w:p w:rsidR="0029477A" w:rsidRDefault="0029477A" w:rsidP="0029477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ED275B" w:rsidRPr="00ED275B" w:rsidRDefault="00ED275B" w:rsidP="00F66FFA">
      <w:pPr>
        <w:shd w:val="clear" w:color="auto" w:fill="FFFFFF"/>
        <w:spacing w:after="0" w:line="240" w:lineRule="auto"/>
        <w:rPr>
          <w:rFonts w:ascii="Verdana" w:hAnsi="Verdana"/>
          <w:color w:val="00B050"/>
          <w:sz w:val="36"/>
          <w:szCs w:val="36"/>
        </w:rPr>
      </w:pPr>
      <w:r w:rsidRPr="0029477A">
        <w:rPr>
          <w:rFonts w:eastAsia="Times New Roman" w:cs="Times New Roman"/>
          <w:b/>
          <w:sz w:val="36"/>
          <w:szCs w:val="36"/>
          <w:lang w:eastAsia="fr-FR"/>
        </w:rPr>
        <w:t>Principaux acteurs miniers</w:t>
      </w:r>
    </w:p>
    <w:p w:rsidR="00ED275B" w:rsidRPr="00E3584B" w:rsidRDefault="00ED275B" w:rsidP="00E3584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E3584B">
        <w:rPr>
          <w:rFonts w:eastAsia="Times New Roman" w:cs="Times New Roman"/>
          <w:sz w:val="28"/>
          <w:szCs w:val="28"/>
          <w:lang w:eastAsia="fr-FR"/>
        </w:rPr>
        <w:t>La production d’uranium est concentrée entre les mains d’un petit nombre de compagnies.</w:t>
      </w:r>
      <w:r w:rsidR="00F66FFA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E3584B">
        <w:rPr>
          <w:rFonts w:eastAsia="Times New Roman" w:cs="Times New Roman"/>
          <w:sz w:val="28"/>
          <w:szCs w:val="28"/>
          <w:lang w:eastAsia="fr-FR"/>
        </w:rPr>
        <w:t xml:space="preserve">Plus de la </w:t>
      </w:r>
      <w:r w:rsidRPr="00B90A1C">
        <w:rPr>
          <w:rFonts w:eastAsia="Times New Roman" w:cs="Times New Roman"/>
          <w:i/>
          <w:sz w:val="28"/>
          <w:szCs w:val="28"/>
          <w:lang w:eastAsia="fr-FR"/>
        </w:rPr>
        <w:t>moitié</w:t>
      </w:r>
      <w:r w:rsidRPr="00E3584B">
        <w:rPr>
          <w:rFonts w:eastAsia="Times New Roman" w:cs="Times New Roman"/>
          <w:sz w:val="28"/>
          <w:szCs w:val="28"/>
          <w:lang w:eastAsia="fr-FR"/>
        </w:rPr>
        <w:t xml:space="preserve"> de la production minière provient de compagnies contrôlées par des </w:t>
      </w:r>
      <w:r w:rsidR="00F66FFA" w:rsidRPr="00B90A1C">
        <w:rPr>
          <w:rFonts w:eastAsia="Times New Roman" w:cs="Times New Roman"/>
          <w:i/>
          <w:sz w:val="28"/>
          <w:szCs w:val="28"/>
          <w:lang w:eastAsia="fr-FR"/>
        </w:rPr>
        <w:t>E</w:t>
      </w:r>
      <w:r w:rsidRPr="00B90A1C">
        <w:rPr>
          <w:rFonts w:eastAsia="Times New Roman" w:cs="Times New Roman"/>
          <w:i/>
          <w:sz w:val="28"/>
          <w:szCs w:val="28"/>
          <w:lang w:eastAsia="fr-FR"/>
        </w:rPr>
        <w:t>tats</w:t>
      </w:r>
      <w:r w:rsidRPr="00E3584B">
        <w:rPr>
          <w:rFonts w:eastAsia="Times New Roman" w:cs="Times New Roman"/>
          <w:sz w:val="28"/>
          <w:szCs w:val="28"/>
          <w:lang w:eastAsia="fr-FR"/>
        </w:rPr>
        <w:t xml:space="preserve">. </w:t>
      </w:r>
    </w:p>
    <w:p w:rsidR="00ED275B" w:rsidRPr="00847F1D" w:rsidRDefault="00ED275B" w:rsidP="00ED275B">
      <w:pPr>
        <w:jc w:val="both"/>
        <w:rPr>
          <w:rFonts w:ascii="Verdana" w:hAnsi="Verdana"/>
          <w:color w:val="00B050"/>
          <w:sz w:val="20"/>
          <w:szCs w:val="20"/>
        </w:rPr>
      </w:pPr>
    </w:p>
    <w:p w:rsidR="00ED275B" w:rsidRPr="00F66FFA" w:rsidRDefault="00ED275B" w:rsidP="00F66FFA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fr-FR"/>
        </w:rPr>
      </w:pPr>
      <w:r w:rsidRPr="00F66FFA">
        <w:rPr>
          <w:rFonts w:eastAsia="Times New Roman" w:cs="Times New Roman"/>
          <w:sz w:val="28"/>
          <w:szCs w:val="28"/>
          <w:lang w:eastAsia="fr-FR"/>
        </w:rPr>
        <w:t>En 201</w:t>
      </w:r>
      <w:r w:rsidR="003E5EB3">
        <w:rPr>
          <w:rFonts w:eastAsia="Times New Roman" w:cs="Times New Roman"/>
          <w:sz w:val="28"/>
          <w:szCs w:val="28"/>
          <w:lang w:eastAsia="fr-FR"/>
        </w:rPr>
        <w:t>5</w:t>
      </w:r>
      <w:r w:rsidRPr="00F66FFA">
        <w:rPr>
          <w:rFonts w:eastAsia="Times New Roman" w:cs="Times New Roman"/>
          <w:sz w:val="28"/>
          <w:szCs w:val="28"/>
          <w:lang w:eastAsia="fr-FR"/>
        </w:rPr>
        <w:t>, les 1</w:t>
      </w:r>
      <w:r w:rsidR="00816270">
        <w:rPr>
          <w:rFonts w:eastAsia="Times New Roman" w:cs="Times New Roman"/>
          <w:sz w:val="28"/>
          <w:szCs w:val="28"/>
          <w:lang w:eastAsia="fr-FR"/>
        </w:rPr>
        <w:t>1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 premiers opérateurs miniers ont concentré à eux seuls la commercialisation de </w:t>
      </w:r>
      <w:r w:rsidRPr="0004098D">
        <w:rPr>
          <w:rFonts w:eastAsia="Times New Roman" w:cs="Times New Roman"/>
          <w:i/>
          <w:sz w:val="28"/>
          <w:szCs w:val="28"/>
          <w:lang w:eastAsia="fr-FR"/>
        </w:rPr>
        <w:t>89%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 de la production mondiale d’uranium : l’entreprise nationale kazakhe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KazAtomProm</w:t>
      </w:r>
      <w:proofErr w:type="spellEnd"/>
      <w:r w:rsidRPr="00F66FFA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D371D8">
        <w:rPr>
          <w:rFonts w:eastAsia="Times New Roman" w:cs="Times New Roman"/>
          <w:sz w:val="28"/>
          <w:szCs w:val="28"/>
          <w:lang w:eastAsia="fr-FR"/>
        </w:rPr>
        <w:t xml:space="preserve">(21% des ventes) 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; la firme industrielle canadienne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Pr="00F66FFA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D371D8">
        <w:rPr>
          <w:rFonts w:eastAsia="Times New Roman" w:cs="Times New Roman"/>
          <w:sz w:val="28"/>
          <w:szCs w:val="28"/>
          <w:lang w:eastAsia="fr-FR"/>
        </w:rPr>
        <w:t>(1</w:t>
      </w:r>
      <w:r w:rsidR="00816270">
        <w:rPr>
          <w:rFonts w:eastAsia="Times New Roman" w:cs="Times New Roman"/>
          <w:sz w:val="28"/>
          <w:szCs w:val="28"/>
          <w:lang w:eastAsia="fr-FR"/>
        </w:rPr>
        <w:t>7</w:t>
      </w:r>
      <w:r w:rsidR="00D371D8">
        <w:rPr>
          <w:rFonts w:eastAsia="Times New Roman" w:cs="Times New Roman"/>
          <w:sz w:val="28"/>
          <w:szCs w:val="28"/>
          <w:lang w:eastAsia="fr-FR"/>
        </w:rPr>
        <w:t>%)</w:t>
      </w:r>
      <w:r w:rsidR="0004098D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; le groupe nucléaire français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 w:rsidRPr="00F66FFA">
        <w:rPr>
          <w:rFonts w:eastAsia="Times New Roman" w:cs="Times New Roman"/>
          <w:sz w:val="28"/>
          <w:szCs w:val="28"/>
          <w:lang w:eastAsia="fr-FR"/>
        </w:rPr>
        <w:t> </w:t>
      </w:r>
      <w:r w:rsidR="00D371D8">
        <w:rPr>
          <w:rFonts w:eastAsia="Times New Roman" w:cs="Times New Roman"/>
          <w:sz w:val="28"/>
          <w:szCs w:val="28"/>
          <w:lang w:eastAsia="fr-FR"/>
        </w:rPr>
        <w:t>(1</w:t>
      </w:r>
      <w:r w:rsidR="00816270">
        <w:rPr>
          <w:rFonts w:eastAsia="Times New Roman" w:cs="Times New Roman"/>
          <w:sz w:val="28"/>
          <w:szCs w:val="28"/>
          <w:lang w:eastAsia="fr-FR"/>
        </w:rPr>
        <w:t>4</w:t>
      </w:r>
      <w:r w:rsidR="00D371D8">
        <w:rPr>
          <w:rFonts w:eastAsia="Times New Roman" w:cs="Times New Roman"/>
          <w:sz w:val="28"/>
          <w:szCs w:val="28"/>
          <w:lang w:eastAsia="fr-FR"/>
        </w:rPr>
        <w:t>%)</w:t>
      </w:r>
      <w:r w:rsidR="0004098D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; le combinat national russe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AtomRedMetZoloto</w:t>
      </w:r>
      <w:proofErr w:type="spellEnd"/>
      <w:r w:rsidRPr="00F66FFA">
        <w:rPr>
          <w:rFonts w:eastAsia="Times New Roman" w:cs="Times New Roman"/>
          <w:sz w:val="28"/>
          <w:szCs w:val="28"/>
          <w:lang w:eastAsia="fr-FR"/>
        </w:rPr>
        <w:t xml:space="preserve"> (ARMZ), qui contrôle également la compagnie canadienne </w:t>
      </w:r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Uranium One </w:t>
      </w:r>
      <w:r w:rsidRPr="00F66FFA">
        <w:rPr>
          <w:rFonts w:eastAsia="Times New Roman" w:cs="Times New Roman"/>
          <w:sz w:val="28"/>
          <w:szCs w:val="28"/>
          <w:lang w:eastAsia="fr-FR"/>
        </w:rPr>
        <w:t>(1</w:t>
      </w:r>
      <w:r w:rsidR="00D371D8">
        <w:rPr>
          <w:rFonts w:eastAsia="Times New Roman" w:cs="Times New Roman"/>
          <w:sz w:val="28"/>
          <w:szCs w:val="28"/>
          <w:lang w:eastAsia="fr-FR"/>
        </w:rPr>
        <w:t>3%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) ; l’anglo-australien </w:t>
      </w:r>
      <w:r w:rsidRPr="00F66FFA">
        <w:rPr>
          <w:rFonts w:eastAsia="Times New Roman" w:cs="Times New Roman"/>
          <w:i/>
          <w:sz w:val="28"/>
          <w:szCs w:val="28"/>
          <w:lang w:eastAsia="fr-FR"/>
        </w:rPr>
        <w:t>BHP-Billiton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 (BHP)</w:t>
      </w:r>
      <w:r w:rsidR="0004098D">
        <w:rPr>
          <w:rFonts w:eastAsia="Times New Roman" w:cs="Times New Roman"/>
          <w:sz w:val="28"/>
          <w:szCs w:val="28"/>
          <w:lang w:eastAsia="fr-FR"/>
        </w:rPr>
        <w:t>,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 qui est le plus gros groupe minier mondial</w:t>
      </w:r>
      <w:r w:rsidR="0004098D">
        <w:rPr>
          <w:rFonts w:eastAsia="Times New Roman" w:cs="Times New Roman"/>
          <w:sz w:val="28"/>
          <w:szCs w:val="28"/>
          <w:lang w:eastAsia="fr-FR"/>
        </w:rPr>
        <w:t>,</w:t>
      </w:r>
      <w:r w:rsidR="00D371D8">
        <w:rPr>
          <w:rFonts w:eastAsia="Times New Roman" w:cs="Times New Roman"/>
          <w:sz w:val="28"/>
          <w:szCs w:val="28"/>
          <w:lang w:eastAsia="fr-FR"/>
        </w:rPr>
        <w:t xml:space="preserve"> (5%)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 ; </w:t>
      </w:r>
      <w:r w:rsidR="00EA0FE4" w:rsidRPr="00F66FFA">
        <w:rPr>
          <w:rFonts w:eastAsia="Times New Roman" w:cs="Times New Roman"/>
          <w:sz w:val="28"/>
          <w:szCs w:val="28"/>
          <w:lang w:eastAsia="fr-FR"/>
        </w:rPr>
        <w:t xml:space="preserve">le partenariat chinois </w:t>
      </w:r>
      <w:r w:rsidR="00EA0FE4" w:rsidRPr="00F66FFA">
        <w:rPr>
          <w:rFonts w:eastAsia="Times New Roman" w:cs="Times New Roman"/>
          <w:i/>
          <w:sz w:val="28"/>
          <w:szCs w:val="28"/>
          <w:lang w:eastAsia="fr-FR"/>
        </w:rPr>
        <w:t>CNNC-CGN</w:t>
      </w:r>
      <w:r w:rsidR="00EA0FE4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="00EA0FE4" w:rsidRPr="00D371D8">
        <w:rPr>
          <w:rFonts w:eastAsia="Times New Roman" w:cs="Times New Roman"/>
          <w:sz w:val="28"/>
          <w:szCs w:val="28"/>
          <w:lang w:eastAsia="fr-FR"/>
        </w:rPr>
        <w:t>(</w:t>
      </w:r>
      <w:r w:rsidR="00EA0FE4">
        <w:rPr>
          <w:rFonts w:eastAsia="Times New Roman" w:cs="Times New Roman"/>
          <w:sz w:val="28"/>
          <w:szCs w:val="28"/>
          <w:lang w:eastAsia="fr-FR"/>
        </w:rPr>
        <w:t>4%)</w:t>
      </w:r>
      <w:r w:rsidR="00EA0FE4" w:rsidRPr="00F66FFA">
        <w:rPr>
          <w:rFonts w:eastAsia="Times New Roman" w:cs="Times New Roman"/>
          <w:sz w:val="28"/>
          <w:szCs w:val="28"/>
          <w:lang w:eastAsia="fr-FR"/>
        </w:rPr>
        <w:t>;</w:t>
      </w:r>
      <w:r w:rsidR="00EA0FE4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le conglomérat minier anglo-australien </w:t>
      </w:r>
      <w:r w:rsidRPr="00F66FFA">
        <w:rPr>
          <w:rFonts w:eastAsia="Times New Roman" w:cs="Times New Roman"/>
          <w:i/>
          <w:sz w:val="28"/>
          <w:szCs w:val="28"/>
          <w:lang w:eastAsia="fr-FR"/>
        </w:rPr>
        <w:t>Rio Tinto</w:t>
      </w:r>
      <w:r w:rsidRPr="00F66FFA">
        <w:rPr>
          <w:rFonts w:eastAsia="Times New Roman" w:cs="Times New Roman"/>
          <w:sz w:val="28"/>
          <w:szCs w:val="28"/>
          <w:lang w:eastAsia="fr-FR"/>
        </w:rPr>
        <w:t> </w:t>
      </w:r>
      <w:r w:rsidR="00D371D8">
        <w:rPr>
          <w:rFonts w:eastAsia="Times New Roman" w:cs="Times New Roman"/>
          <w:sz w:val="28"/>
          <w:szCs w:val="28"/>
          <w:lang w:eastAsia="fr-FR"/>
        </w:rPr>
        <w:t>(</w:t>
      </w:r>
      <w:r w:rsidR="005D4E48">
        <w:rPr>
          <w:rFonts w:eastAsia="Times New Roman" w:cs="Times New Roman"/>
          <w:sz w:val="28"/>
          <w:szCs w:val="28"/>
          <w:lang w:eastAsia="fr-FR"/>
        </w:rPr>
        <w:t>4</w:t>
      </w:r>
      <w:r w:rsidR="00D371D8">
        <w:rPr>
          <w:rFonts w:eastAsia="Times New Roman" w:cs="Times New Roman"/>
          <w:sz w:val="28"/>
          <w:szCs w:val="28"/>
          <w:lang w:eastAsia="fr-FR"/>
        </w:rPr>
        <w:t>%)</w:t>
      </w:r>
      <w:r w:rsidRPr="00F66FFA">
        <w:rPr>
          <w:rFonts w:eastAsia="Times New Roman" w:cs="Times New Roman"/>
          <w:sz w:val="28"/>
          <w:szCs w:val="28"/>
          <w:lang w:eastAsia="fr-FR"/>
        </w:rPr>
        <w:t>; l’entreprise d’</w:t>
      </w:r>
      <w:r w:rsidR="0004098D">
        <w:rPr>
          <w:rFonts w:eastAsia="Times New Roman" w:cs="Times New Roman"/>
          <w:sz w:val="28"/>
          <w:szCs w:val="28"/>
          <w:lang w:eastAsia="fr-FR"/>
        </w:rPr>
        <w:t>E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tat d’Ouzbékistan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Navoi</w:t>
      </w:r>
      <w:proofErr w:type="spellEnd"/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Mining</w:t>
      </w:r>
      <w:proofErr w:type="spellEnd"/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 &amp;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Metallurgy</w:t>
      </w:r>
      <w:proofErr w:type="spellEnd"/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 Combinat </w:t>
      </w:r>
      <w:r w:rsidRPr="00F66FFA">
        <w:rPr>
          <w:rFonts w:eastAsia="Times New Roman" w:cs="Times New Roman"/>
          <w:sz w:val="28"/>
          <w:szCs w:val="28"/>
          <w:lang w:eastAsia="fr-FR"/>
        </w:rPr>
        <w:t>(</w:t>
      </w:r>
      <w:r w:rsidR="00D371D8">
        <w:rPr>
          <w:rFonts w:eastAsia="Times New Roman" w:cs="Times New Roman"/>
          <w:sz w:val="28"/>
          <w:szCs w:val="28"/>
          <w:lang w:eastAsia="fr-FR"/>
        </w:rPr>
        <w:t>4%</w:t>
      </w:r>
      <w:r w:rsidRPr="00F66FFA">
        <w:rPr>
          <w:rFonts w:eastAsia="Times New Roman" w:cs="Times New Roman"/>
          <w:sz w:val="28"/>
          <w:szCs w:val="28"/>
          <w:lang w:eastAsia="fr-FR"/>
        </w:rPr>
        <w:t xml:space="preserve">) ; la compagnie indépendante australienne </w:t>
      </w:r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Paladin </w:t>
      </w:r>
      <w:proofErr w:type="spellStart"/>
      <w:r w:rsidRPr="00F66FFA">
        <w:rPr>
          <w:rFonts w:eastAsia="Times New Roman" w:cs="Times New Roman"/>
          <w:i/>
          <w:sz w:val="28"/>
          <w:szCs w:val="28"/>
          <w:lang w:eastAsia="fr-FR"/>
        </w:rPr>
        <w:t>Energy</w:t>
      </w:r>
      <w:proofErr w:type="spellEnd"/>
      <w:r w:rsidRPr="00F66FFA">
        <w:rPr>
          <w:rFonts w:eastAsia="Times New Roman" w:cs="Times New Roman"/>
          <w:i/>
          <w:sz w:val="28"/>
          <w:szCs w:val="28"/>
          <w:lang w:eastAsia="fr-FR"/>
        </w:rPr>
        <w:t xml:space="preserve"> Ltd</w:t>
      </w:r>
      <w:r w:rsidR="00D371D8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="00D371D8">
        <w:rPr>
          <w:rFonts w:eastAsia="Times New Roman" w:cs="Times New Roman"/>
          <w:sz w:val="28"/>
          <w:szCs w:val="28"/>
          <w:lang w:eastAsia="fr-FR"/>
        </w:rPr>
        <w:t>(2%)</w:t>
      </w:r>
      <w:r w:rsidRPr="00F66FFA">
        <w:rPr>
          <w:rFonts w:eastAsia="Times New Roman" w:cs="Times New Roman"/>
          <w:i/>
          <w:sz w:val="28"/>
          <w:szCs w:val="28"/>
          <w:lang w:eastAsia="fr-FR"/>
        </w:rPr>
        <w:t>. </w:t>
      </w:r>
    </w:p>
    <w:p w:rsidR="00ED275B" w:rsidRDefault="00ED275B" w:rsidP="00ED275B">
      <w:pPr>
        <w:jc w:val="both"/>
        <w:rPr>
          <w:rFonts w:ascii="Verdana" w:hAnsi="Verdana"/>
          <w:sz w:val="20"/>
          <w:szCs w:val="20"/>
        </w:rPr>
      </w:pPr>
    </w:p>
    <w:p w:rsidR="00FC3EFA" w:rsidRPr="00045B7D" w:rsidRDefault="00ED275B" w:rsidP="00D371D8">
      <w:pPr>
        <w:jc w:val="center"/>
        <w:rPr>
          <w:rFonts w:eastAsia="Times New Roman" w:cs="Times New Roman"/>
          <w:sz w:val="28"/>
          <w:szCs w:val="28"/>
          <w:lang w:eastAsia="fr-FR"/>
        </w:rPr>
      </w:pPr>
      <w:r w:rsidRPr="00EE2DF8">
        <w:rPr>
          <w:rFonts w:ascii="Arial" w:hAnsi="Arial" w:cs="Arial"/>
          <w:b/>
          <w:u w:val="single"/>
        </w:rPr>
        <w:t>Quantités d’uranium commercialisées</w:t>
      </w:r>
      <w:r w:rsidR="00FC6D54">
        <w:rPr>
          <w:rFonts w:ascii="Arial" w:hAnsi="Arial" w:cs="Arial"/>
          <w:b/>
          <w:u w:val="single"/>
        </w:rPr>
        <w:t xml:space="preserve"> par 9 opérateurs du marché</w:t>
      </w:r>
      <w:r w:rsidR="00F03F17" w:rsidRPr="00F03F17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486400" cy="3200400"/>
            <wp:effectExtent l="0" t="0" r="0" b="0"/>
            <wp:docPr id="1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584B" w:rsidRPr="0004098D" w:rsidRDefault="00E3584B" w:rsidP="000176CF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76789B" w:rsidRDefault="001234C5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1234C5">
        <w:rPr>
          <w:rFonts w:eastAsia="Times New Roman" w:cs="Times New Roman"/>
          <w:sz w:val="28"/>
          <w:szCs w:val="28"/>
          <w:lang w:eastAsia="fr-FR"/>
        </w:rPr>
        <w:t>En raison de la situation déprimée du marché</w:t>
      </w:r>
      <w:r w:rsidRPr="001234C5">
        <w:rPr>
          <w:rFonts w:eastAsia="Times New Roman" w:cs="Times New Roman"/>
          <w:i/>
          <w:sz w:val="28"/>
          <w:szCs w:val="28"/>
          <w:lang w:eastAsia="fr-FR"/>
        </w:rPr>
        <w:t xml:space="preserve">, </w:t>
      </w:r>
      <w:proofErr w:type="spellStart"/>
      <w:r w:rsidR="00EC3128" w:rsidRPr="001234C5">
        <w:rPr>
          <w:rFonts w:eastAsia="Times New Roman" w:cs="Times New Roman"/>
          <w:i/>
          <w:sz w:val="28"/>
          <w:szCs w:val="28"/>
          <w:lang w:eastAsia="fr-FR"/>
        </w:rPr>
        <w:t>KazAtomProm</w:t>
      </w:r>
      <w:proofErr w:type="spellEnd"/>
      <w:r>
        <w:rPr>
          <w:rFonts w:eastAsia="Times New Roman" w:cs="Times New Roman"/>
          <w:sz w:val="28"/>
          <w:szCs w:val="28"/>
          <w:lang w:eastAsia="fr-FR"/>
        </w:rPr>
        <w:t xml:space="preserve"> a dernièrement annoncé une réduction de 10% de sa production.</w:t>
      </w:r>
      <w:r w:rsidR="00541E98">
        <w:rPr>
          <w:rFonts w:eastAsia="Times New Roman" w:cs="Times New Roman"/>
          <w:sz w:val="28"/>
          <w:szCs w:val="28"/>
          <w:lang w:eastAsia="fr-FR"/>
        </w:rPr>
        <w:t xml:space="preserve"> </w:t>
      </w:r>
    </w:p>
    <w:p w:rsidR="00C908AA" w:rsidRDefault="00C908AA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76789B" w:rsidRPr="0076789B" w:rsidRDefault="00541E98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541E98">
        <w:rPr>
          <w:rFonts w:eastAsia="Times New Roman" w:cs="Times New Roman"/>
          <w:sz w:val="28"/>
          <w:szCs w:val="28"/>
          <w:lang w:eastAsia="fr-FR"/>
        </w:rPr>
        <w:t xml:space="preserve">De son côté, </w:t>
      </w:r>
      <w:proofErr w:type="spellStart"/>
      <w:r w:rsidRPr="00541E98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Pr="00541E98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="00B23491">
        <w:rPr>
          <w:rFonts w:eastAsia="Times New Roman" w:cs="Times New Roman"/>
          <w:sz w:val="28"/>
          <w:szCs w:val="28"/>
          <w:lang w:eastAsia="fr-FR"/>
        </w:rPr>
        <w:t xml:space="preserve">qui </w:t>
      </w:r>
      <w:r w:rsidRPr="00541E98">
        <w:rPr>
          <w:rFonts w:eastAsia="Times New Roman" w:cs="Times New Roman"/>
          <w:sz w:val="28"/>
          <w:szCs w:val="28"/>
          <w:lang w:eastAsia="fr-FR"/>
        </w:rPr>
        <w:t>a affiché une perte de 29 millions de $US</w:t>
      </w:r>
      <w:r w:rsidR="00B23491">
        <w:rPr>
          <w:rFonts w:eastAsia="Times New Roman" w:cs="Times New Roman"/>
          <w:sz w:val="28"/>
          <w:szCs w:val="28"/>
          <w:lang w:eastAsia="fr-FR"/>
        </w:rPr>
        <w:t xml:space="preserve"> et a vu la fin de son contrat d’approvisionnement de l’électricien japonais </w:t>
      </w:r>
      <w:proofErr w:type="spellStart"/>
      <w:r w:rsidR="00B23491" w:rsidRPr="00B23491">
        <w:rPr>
          <w:rFonts w:eastAsia="Times New Roman" w:cs="Times New Roman"/>
          <w:i/>
          <w:sz w:val="28"/>
          <w:szCs w:val="28"/>
          <w:lang w:eastAsia="fr-FR"/>
        </w:rPr>
        <w:t>Tepco</w:t>
      </w:r>
      <w:proofErr w:type="spellEnd"/>
      <w:r w:rsidR="00B23491">
        <w:rPr>
          <w:rFonts w:eastAsia="Times New Roman" w:cs="Times New Roman"/>
          <w:sz w:val="28"/>
          <w:szCs w:val="28"/>
          <w:lang w:eastAsia="fr-FR"/>
        </w:rPr>
        <w:t xml:space="preserve">, a dû réduire de 6% en 2016 la production de sa grosse mine canadienne de </w:t>
      </w:r>
      <w:proofErr w:type="spellStart"/>
      <w:r w:rsidR="00B23491" w:rsidRPr="00B23491">
        <w:rPr>
          <w:rFonts w:eastAsia="Times New Roman" w:cs="Times New Roman"/>
          <w:i/>
          <w:sz w:val="28"/>
          <w:szCs w:val="28"/>
          <w:lang w:eastAsia="fr-FR"/>
        </w:rPr>
        <w:t>McArthur</w:t>
      </w:r>
      <w:proofErr w:type="spellEnd"/>
      <w:r w:rsidR="00B23491" w:rsidRPr="00B23491">
        <w:rPr>
          <w:rFonts w:eastAsia="Times New Roman" w:cs="Times New Roman"/>
          <w:i/>
          <w:sz w:val="28"/>
          <w:szCs w:val="28"/>
          <w:lang w:eastAsia="fr-FR"/>
        </w:rPr>
        <w:t xml:space="preserve"> River</w:t>
      </w:r>
      <w:r w:rsidR="00B23491" w:rsidRPr="009849D5">
        <w:rPr>
          <w:rFonts w:eastAsia="Times New Roman" w:cs="Times New Roman"/>
          <w:sz w:val="28"/>
          <w:szCs w:val="28"/>
          <w:lang w:eastAsia="fr-FR"/>
        </w:rPr>
        <w:t xml:space="preserve">. </w:t>
      </w:r>
      <w:r w:rsidR="0076789B" w:rsidRPr="009849D5">
        <w:rPr>
          <w:rFonts w:eastAsia="Times New Roman" w:cs="Times New Roman"/>
          <w:sz w:val="28"/>
          <w:szCs w:val="28"/>
          <w:lang w:eastAsia="fr-FR"/>
        </w:rPr>
        <w:t>Ajouté</w:t>
      </w:r>
      <w:r w:rsidR="0076789B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9849D5">
        <w:rPr>
          <w:rFonts w:eastAsia="Times New Roman" w:cs="Times New Roman"/>
          <w:sz w:val="28"/>
          <w:szCs w:val="28"/>
          <w:lang w:eastAsia="fr-FR"/>
        </w:rPr>
        <w:t>à la fermeture</w:t>
      </w:r>
      <w:r w:rsidR="0076789B">
        <w:rPr>
          <w:rFonts w:eastAsia="Times New Roman" w:cs="Times New Roman"/>
          <w:sz w:val="28"/>
          <w:szCs w:val="28"/>
          <w:lang w:eastAsia="fr-FR"/>
        </w:rPr>
        <w:t xml:space="preserve"> de son autre mine canadienne de </w:t>
      </w:r>
      <w:proofErr w:type="spellStart"/>
      <w:r w:rsidR="0076789B" w:rsidRPr="0076789B">
        <w:rPr>
          <w:rFonts w:eastAsia="Times New Roman" w:cs="Times New Roman"/>
          <w:i/>
          <w:sz w:val="28"/>
          <w:szCs w:val="28"/>
          <w:lang w:eastAsia="fr-FR"/>
        </w:rPr>
        <w:t>Rabbit</w:t>
      </w:r>
      <w:proofErr w:type="spellEnd"/>
      <w:r w:rsidR="0076789B" w:rsidRPr="0076789B">
        <w:rPr>
          <w:rFonts w:eastAsia="Times New Roman" w:cs="Times New Roman"/>
          <w:i/>
          <w:sz w:val="28"/>
          <w:szCs w:val="28"/>
          <w:lang w:eastAsia="fr-FR"/>
        </w:rPr>
        <w:t xml:space="preserve"> Lake</w:t>
      </w:r>
      <w:r w:rsidR="0076789B">
        <w:rPr>
          <w:rFonts w:eastAsia="Times New Roman" w:cs="Times New Roman"/>
          <w:sz w:val="28"/>
          <w:szCs w:val="28"/>
          <w:lang w:eastAsia="fr-FR"/>
        </w:rPr>
        <w:t xml:space="preserve">, </w:t>
      </w:r>
      <w:proofErr w:type="spellStart"/>
      <w:r w:rsidR="0076789B" w:rsidRPr="0076789B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="0076789B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="0076789B">
        <w:rPr>
          <w:rFonts w:eastAsia="Times New Roman" w:cs="Times New Roman"/>
          <w:sz w:val="28"/>
          <w:szCs w:val="28"/>
          <w:lang w:eastAsia="fr-FR"/>
        </w:rPr>
        <w:t>a dû supprimer 620 emplois.</w:t>
      </w:r>
    </w:p>
    <w:p w:rsidR="0076789B" w:rsidRDefault="0076789B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fr-FR"/>
        </w:rPr>
      </w:pPr>
    </w:p>
    <w:p w:rsidR="00B23491" w:rsidRPr="003143E0" w:rsidRDefault="00B23491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proofErr w:type="spellStart"/>
      <w:r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>
        <w:rPr>
          <w:rFonts w:eastAsia="Times New Roman" w:cs="Times New Roman"/>
          <w:sz w:val="28"/>
          <w:szCs w:val="28"/>
          <w:lang w:eastAsia="fr-FR"/>
        </w:rPr>
        <w:t xml:space="preserve">a, pour sa part, réduit en 2016 respectivement de 16% et 13% la production de ses exploitations de </w:t>
      </w:r>
      <w:proofErr w:type="spellStart"/>
      <w:r w:rsidRPr="00B23491">
        <w:rPr>
          <w:rFonts w:eastAsia="Times New Roman" w:cs="Times New Roman"/>
          <w:i/>
          <w:sz w:val="28"/>
          <w:szCs w:val="28"/>
          <w:lang w:eastAsia="fr-FR"/>
        </w:rPr>
        <w:t>Somaïr</w:t>
      </w:r>
      <w:proofErr w:type="spellEnd"/>
      <w:r>
        <w:rPr>
          <w:rFonts w:eastAsia="Times New Roman" w:cs="Times New Roman"/>
          <w:sz w:val="28"/>
          <w:szCs w:val="28"/>
          <w:lang w:eastAsia="fr-FR"/>
        </w:rPr>
        <w:t xml:space="preserve"> et </w:t>
      </w:r>
      <w:proofErr w:type="spellStart"/>
      <w:r w:rsidRPr="00B23491">
        <w:rPr>
          <w:rFonts w:eastAsia="Times New Roman" w:cs="Times New Roman"/>
          <w:i/>
          <w:sz w:val="28"/>
          <w:szCs w:val="28"/>
          <w:lang w:eastAsia="fr-FR"/>
        </w:rPr>
        <w:t>Cominak</w:t>
      </w:r>
      <w:proofErr w:type="spellEnd"/>
      <w:r w:rsidR="007259F8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="007259F8" w:rsidRPr="007259F8">
        <w:rPr>
          <w:rFonts w:eastAsia="Times New Roman" w:cs="Times New Roman"/>
          <w:sz w:val="28"/>
          <w:szCs w:val="28"/>
          <w:lang w:eastAsia="fr-FR"/>
        </w:rPr>
        <w:t>au</w:t>
      </w:r>
      <w:r w:rsidR="007259F8">
        <w:rPr>
          <w:rFonts w:eastAsia="Times New Roman" w:cs="Times New Roman"/>
          <w:i/>
          <w:sz w:val="28"/>
          <w:szCs w:val="28"/>
          <w:lang w:eastAsia="fr-FR"/>
        </w:rPr>
        <w:t xml:space="preserve"> Niger</w:t>
      </w:r>
      <w:r>
        <w:rPr>
          <w:rFonts w:eastAsia="Times New Roman" w:cs="Times New Roman"/>
          <w:sz w:val="28"/>
          <w:szCs w:val="28"/>
          <w:lang w:eastAsia="fr-FR"/>
        </w:rPr>
        <w:t>.</w:t>
      </w:r>
      <w:r w:rsidR="003143E0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="003143E0" w:rsidRPr="003143E0">
        <w:rPr>
          <w:rFonts w:eastAsia="Times New Roman" w:cs="Times New Roman"/>
          <w:sz w:val="28"/>
          <w:szCs w:val="28"/>
          <w:lang w:eastAsia="fr-FR"/>
        </w:rPr>
        <w:t xml:space="preserve">Au </w:t>
      </w:r>
      <w:r w:rsidR="003143E0" w:rsidRPr="007259F8">
        <w:rPr>
          <w:rFonts w:eastAsia="Times New Roman" w:cs="Times New Roman"/>
          <w:i/>
          <w:sz w:val="28"/>
          <w:szCs w:val="28"/>
          <w:lang w:eastAsia="fr-FR"/>
        </w:rPr>
        <w:t>Kazakhstan</w:t>
      </w:r>
      <w:r w:rsidR="003143E0" w:rsidRPr="003143E0">
        <w:rPr>
          <w:rFonts w:eastAsia="Times New Roman" w:cs="Times New Roman"/>
          <w:sz w:val="28"/>
          <w:szCs w:val="28"/>
          <w:lang w:eastAsia="fr-FR"/>
        </w:rPr>
        <w:t xml:space="preserve">, </w:t>
      </w:r>
      <w:proofErr w:type="spellStart"/>
      <w:r w:rsidR="003143E0" w:rsidRPr="003143E0"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 w:rsidR="003143E0" w:rsidRPr="003143E0">
        <w:rPr>
          <w:rFonts w:eastAsia="Times New Roman" w:cs="Times New Roman"/>
          <w:sz w:val="28"/>
          <w:szCs w:val="28"/>
          <w:lang w:eastAsia="fr-FR"/>
        </w:rPr>
        <w:t xml:space="preserve"> a en 2016 réduit de 13% la production de son p</w:t>
      </w:r>
      <w:r w:rsidR="003143E0">
        <w:rPr>
          <w:rFonts w:eastAsia="Times New Roman" w:cs="Times New Roman"/>
          <w:sz w:val="28"/>
          <w:szCs w:val="28"/>
          <w:lang w:eastAsia="fr-FR"/>
        </w:rPr>
        <w:t>a</w:t>
      </w:r>
      <w:r w:rsidR="003143E0" w:rsidRPr="003143E0">
        <w:rPr>
          <w:rFonts w:eastAsia="Times New Roman" w:cs="Times New Roman"/>
          <w:sz w:val="28"/>
          <w:szCs w:val="28"/>
          <w:lang w:eastAsia="fr-FR"/>
        </w:rPr>
        <w:t xml:space="preserve">rtenariat </w:t>
      </w:r>
      <w:proofErr w:type="spellStart"/>
      <w:r w:rsidR="003143E0" w:rsidRPr="003143E0">
        <w:rPr>
          <w:rFonts w:eastAsia="Times New Roman" w:cs="Times New Roman"/>
          <w:i/>
          <w:sz w:val="28"/>
          <w:szCs w:val="28"/>
          <w:lang w:eastAsia="fr-FR"/>
        </w:rPr>
        <w:t>Katco</w:t>
      </w:r>
      <w:proofErr w:type="spellEnd"/>
      <w:r w:rsidR="003143E0" w:rsidRPr="003143E0">
        <w:rPr>
          <w:rFonts w:eastAsia="Times New Roman" w:cs="Times New Roman"/>
          <w:sz w:val="28"/>
          <w:szCs w:val="28"/>
          <w:lang w:eastAsia="fr-FR"/>
        </w:rPr>
        <w:t>.</w:t>
      </w:r>
    </w:p>
    <w:p w:rsidR="003143E0" w:rsidRPr="003143E0" w:rsidRDefault="003143E0" w:rsidP="00B234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F03F17" w:rsidRPr="00E3584B" w:rsidRDefault="00F03F17" w:rsidP="00E3584B">
      <w:pPr>
        <w:shd w:val="clear" w:color="auto" w:fill="FFFFFF"/>
        <w:spacing w:after="0" w:line="240" w:lineRule="auto"/>
        <w:rPr>
          <w:rFonts w:eastAsia="Times New Roman" w:cs="Times New Roman"/>
          <w:b/>
          <w:sz w:val="36"/>
          <w:szCs w:val="36"/>
          <w:lang w:eastAsia="fr-FR"/>
        </w:rPr>
      </w:pPr>
      <w:r w:rsidRPr="00E3584B">
        <w:rPr>
          <w:rFonts w:eastAsia="Times New Roman" w:cs="Times New Roman"/>
          <w:b/>
          <w:sz w:val="36"/>
          <w:szCs w:val="36"/>
          <w:lang w:eastAsia="fr-FR"/>
        </w:rPr>
        <w:t>Principales mines</w:t>
      </w:r>
      <w:r w:rsidR="00B23491">
        <w:rPr>
          <w:rFonts w:eastAsia="Times New Roman" w:cs="Times New Roman"/>
          <w:b/>
          <w:sz w:val="36"/>
          <w:szCs w:val="36"/>
          <w:lang w:eastAsia="fr-FR"/>
        </w:rPr>
        <w:t xml:space="preserve"> d’uranium</w:t>
      </w:r>
    </w:p>
    <w:p w:rsidR="00F03F17" w:rsidRPr="00B8490E" w:rsidRDefault="00F03F17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B8490E">
        <w:rPr>
          <w:rFonts w:eastAsia="Times New Roman" w:cs="Times New Roman"/>
          <w:sz w:val="28"/>
          <w:szCs w:val="28"/>
          <w:lang w:eastAsia="fr-FR"/>
        </w:rPr>
        <w:t xml:space="preserve">Les 2/3 des livraisons mondiales </w:t>
      </w:r>
      <w:r w:rsidR="00B8490E">
        <w:rPr>
          <w:rFonts w:eastAsia="Times New Roman" w:cs="Times New Roman"/>
          <w:sz w:val="28"/>
          <w:szCs w:val="28"/>
          <w:lang w:eastAsia="fr-FR"/>
        </w:rPr>
        <w:t>s</w:t>
      </w:r>
      <w:r w:rsidRPr="00B8490E">
        <w:rPr>
          <w:rFonts w:eastAsia="Times New Roman" w:cs="Times New Roman"/>
          <w:sz w:val="28"/>
          <w:szCs w:val="28"/>
          <w:lang w:eastAsia="fr-FR"/>
        </w:rPr>
        <w:t>ont fournies par 15 mines.</w:t>
      </w:r>
      <w:r w:rsidR="00B8490E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De manière frappante, </w:t>
      </w:r>
      <w:r w:rsidRPr="00B8490E">
        <w:rPr>
          <w:rFonts w:eastAsia="Times New Roman" w:cs="Times New Roman"/>
          <w:i/>
          <w:sz w:val="28"/>
          <w:szCs w:val="28"/>
          <w:lang w:eastAsia="fr-FR"/>
        </w:rPr>
        <w:t>12%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 du total mondial </w:t>
      </w:r>
      <w:r w:rsidR="00B8490E">
        <w:rPr>
          <w:rFonts w:eastAsia="Times New Roman" w:cs="Times New Roman"/>
          <w:sz w:val="28"/>
          <w:szCs w:val="28"/>
          <w:lang w:eastAsia="fr-FR"/>
        </w:rPr>
        <w:t>s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ont produits dans le plus gros centre de production d’uranium au monde, la mine souterraine de </w:t>
      </w:r>
      <w:proofErr w:type="spellStart"/>
      <w:r w:rsidRPr="00B8490E">
        <w:rPr>
          <w:rFonts w:eastAsia="Times New Roman" w:cs="Times New Roman"/>
          <w:i/>
          <w:sz w:val="28"/>
          <w:szCs w:val="28"/>
          <w:lang w:eastAsia="fr-FR"/>
        </w:rPr>
        <w:t>McArthur</w:t>
      </w:r>
      <w:proofErr w:type="spellEnd"/>
      <w:r w:rsidRPr="00B8490E">
        <w:rPr>
          <w:rFonts w:eastAsia="Times New Roman" w:cs="Times New Roman"/>
          <w:i/>
          <w:sz w:val="28"/>
          <w:szCs w:val="28"/>
          <w:lang w:eastAsia="fr-FR"/>
        </w:rPr>
        <w:t xml:space="preserve"> River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 xml:space="preserve"> 70% + 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 xml:space="preserve"> 30%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) et l’usine de concentrés uranifères de </w:t>
      </w:r>
      <w:r w:rsidRPr="00B8490E">
        <w:rPr>
          <w:rFonts w:eastAsia="Times New Roman" w:cs="Times New Roman"/>
          <w:i/>
          <w:sz w:val="28"/>
          <w:szCs w:val="28"/>
          <w:lang w:eastAsia="fr-FR"/>
        </w:rPr>
        <w:t>Key Lake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 xml:space="preserve"> 83% + 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 xml:space="preserve"> 17%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) </w:t>
      </w:r>
      <w:r w:rsidR="00B8490E">
        <w:rPr>
          <w:rFonts w:eastAsia="Times New Roman" w:cs="Times New Roman"/>
          <w:sz w:val="28"/>
          <w:szCs w:val="28"/>
          <w:lang w:eastAsia="fr-FR"/>
        </w:rPr>
        <w:t xml:space="preserve">au 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Saskatchewan, Canada. </w:t>
      </w:r>
    </w:p>
    <w:p w:rsidR="00F03F17" w:rsidRPr="00B8490E" w:rsidRDefault="00F03F17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2B2286" w:rsidRDefault="002B2286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797625"/>
            <wp:effectExtent l="19050" t="0" r="0" b="0"/>
            <wp:docPr id="5" name="Image 1" descr="Résultat de recherche d'images pour &quot;key lake uranium mi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key lake uranium mill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79" w:rsidRPr="00077879" w:rsidRDefault="00077879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4F6228" w:themeColor="accent3" w:themeShade="80"/>
          <w:lang w:eastAsia="fr-FR"/>
        </w:rPr>
      </w:pPr>
      <w:r w:rsidRPr="00077879">
        <w:rPr>
          <w:rFonts w:eastAsia="Times New Roman" w:cs="Times New Roman"/>
          <w:b/>
          <w:color w:val="4F6228" w:themeColor="accent3" w:themeShade="80"/>
          <w:lang w:eastAsia="fr-FR"/>
        </w:rPr>
        <w:t xml:space="preserve">Usine de concentrés uranifères de </w:t>
      </w:r>
      <w:r w:rsidRPr="00077879">
        <w:rPr>
          <w:rFonts w:eastAsia="Times New Roman" w:cs="Times New Roman"/>
          <w:b/>
          <w:i/>
          <w:color w:val="4F6228" w:themeColor="accent3" w:themeShade="80"/>
          <w:lang w:eastAsia="fr-FR"/>
        </w:rPr>
        <w:t>Key Lake</w:t>
      </w:r>
      <w:r w:rsidRPr="00077879">
        <w:rPr>
          <w:rFonts w:eastAsia="Times New Roman" w:cs="Times New Roman"/>
          <w:b/>
          <w:color w:val="4F6228" w:themeColor="accent3" w:themeShade="80"/>
          <w:lang w:eastAsia="fr-FR"/>
        </w:rPr>
        <w:t xml:space="preserve"> (</w:t>
      </w:r>
      <w:proofErr w:type="spellStart"/>
      <w:r w:rsidRPr="00077879">
        <w:rPr>
          <w:rFonts w:eastAsia="Times New Roman" w:cs="Times New Roman"/>
          <w:b/>
          <w:i/>
          <w:color w:val="4F6228" w:themeColor="accent3" w:themeShade="80"/>
          <w:lang w:eastAsia="fr-FR"/>
        </w:rPr>
        <w:t>Cameco</w:t>
      </w:r>
      <w:proofErr w:type="spellEnd"/>
      <w:r w:rsidRPr="00077879">
        <w:rPr>
          <w:rFonts w:eastAsia="Times New Roman" w:cs="Times New Roman"/>
          <w:b/>
          <w:i/>
          <w:color w:val="4F6228" w:themeColor="accent3" w:themeShade="80"/>
          <w:lang w:eastAsia="fr-FR"/>
        </w:rPr>
        <w:t xml:space="preserve"> 83% + </w:t>
      </w:r>
      <w:proofErr w:type="spellStart"/>
      <w:r w:rsidRPr="00077879">
        <w:rPr>
          <w:rFonts w:eastAsia="Times New Roman" w:cs="Times New Roman"/>
          <w:b/>
          <w:i/>
          <w:color w:val="4F6228" w:themeColor="accent3" w:themeShade="80"/>
          <w:lang w:eastAsia="fr-FR"/>
        </w:rPr>
        <w:t>Areva</w:t>
      </w:r>
      <w:proofErr w:type="spellEnd"/>
      <w:r w:rsidRPr="00077879">
        <w:rPr>
          <w:rFonts w:eastAsia="Times New Roman" w:cs="Times New Roman"/>
          <w:b/>
          <w:i/>
          <w:color w:val="4F6228" w:themeColor="accent3" w:themeShade="80"/>
          <w:lang w:eastAsia="fr-FR"/>
        </w:rPr>
        <w:t xml:space="preserve"> 17%</w:t>
      </w:r>
      <w:r w:rsidRPr="00077879">
        <w:rPr>
          <w:rFonts w:eastAsia="Times New Roman" w:cs="Times New Roman"/>
          <w:b/>
          <w:color w:val="4F6228" w:themeColor="accent3" w:themeShade="80"/>
          <w:lang w:eastAsia="fr-FR"/>
        </w:rPr>
        <w:t>), Saskatchewan, Canada</w:t>
      </w:r>
    </w:p>
    <w:p w:rsidR="00B70EEC" w:rsidRDefault="00B70EEC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2B2286" w:rsidRDefault="002B2286" w:rsidP="002B228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B8490E">
        <w:rPr>
          <w:rFonts w:eastAsia="Times New Roman" w:cs="Times New Roman"/>
          <w:sz w:val="28"/>
          <w:szCs w:val="28"/>
          <w:lang w:eastAsia="fr-FR"/>
        </w:rPr>
        <w:lastRenderedPageBreak/>
        <w:t xml:space="preserve">Loin derrière, les suivants </w:t>
      </w:r>
      <w:r>
        <w:rPr>
          <w:rFonts w:eastAsia="Times New Roman" w:cs="Times New Roman"/>
          <w:sz w:val="28"/>
          <w:szCs w:val="28"/>
          <w:lang w:eastAsia="fr-FR"/>
        </w:rPr>
        <w:t>sont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 la mine souterraine de 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Cigar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 xml:space="preserve"> Lake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, également un partenariat 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Cameco</w:t>
      </w:r>
      <w:proofErr w:type="spellEnd"/>
      <w:r w:rsidRPr="00AE22BD">
        <w:rPr>
          <w:rFonts w:eastAsia="Times New Roman" w:cs="Times New Roman"/>
          <w:i/>
          <w:sz w:val="28"/>
          <w:szCs w:val="28"/>
          <w:lang w:eastAsia="fr-FR"/>
        </w:rPr>
        <w:t>-</w:t>
      </w:r>
      <w:proofErr w:type="spellStart"/>
      <w:r w:rsidRPr="00AE22BD">
        <w:rPr>
          <w:rFonts w:eastAsia="Times New Roman" w:cs="Times New Roman"/>
          <w:i/>
          <w:sz w:val="28"/>
          <w:szCs w:val="28"/>
          <w:lang w:eastAsia="fr-FR"/>
        </w:rPr>
        <w:t>Areva</w:t>
      </w:r>
      <w:proofErr w:type="spellEnd"/>
      <w:r w:rsidRPr="00B8490E">
        <w:rPr>
          <w:rFonts w:eastAsia="Times New Roman" w:cs="Times New Roman"/>
          <w:sz w:val="28"/>
          <w:szCs w:val="28"/>
          <w:lang w:eastAsia="fr-FR"/>
        </w:rPr>
        <w:t> </w:t>
      </w:r>
      <w:r>
        <w:rPr>
          <w:rFonts w:eastAsia="Times New Roman" w:cs="Times New Roman"/>
          <w:sz w:val="28"/>
          <w:szCs w:val="28"/>
          <w:lang w:eastAsia="fr-FR"/>
        </w:rPr>
        <w:t>au</w:t>
      </w:r>
      <w:r w:rsidR="00077879">
        <w:rPr>
          <w:rFonts w:eastAsia="Times New Roman" w:cs="Times New Roman"/>
          <w:sz w:val="28"/>
          <w:szCs w:val="28"/>
          <w:lang w:eastAsia="fr-FR"/>
        </w:rPr>
        <w:t xml:space="preserve"> Saskatchewan,</w:t>
      </w:r>
      <w:r>
        <w:rPr>
          <w:rFonts w:eastAsia="Times New Roman" w:cs="Times New Roman"/>
          <w:sz w:val="28"/>
          <w:szCs w:val="28"/>
          <w:lang w:eastAsia="fr-FR"/>
        </w:rPr>
        <w:t xml:space="preserve"> Canada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; </w:t>
      </w:r>
      <w:proofErr w:type="spellStart"/>
      <w:r w:rsidRPr="00B70EEC">
        <w:rPr>
          <w:rFonts w:eastAsia="Times New Roman" w:cs="Times New Roman"/>
          <w:i/>
          <w:sz w:val="28"/>
          <w:szCs w:val="28"/>
          <w:lang w:eastAsia="fr-FR"/>
        </w:rPr>
        <w:t>Tortkuduk</w:t>
      </w:r>
      <w:proofErr w:type="spellEnd"/>
      <w:r w:rsidRPr="00B70EEC">
        <w:rPr>
          <w:rFonts w:eastAsia="Times New Roman" w:cs="Times New Roman"/>
          <w:i/>
          <w:sz w:val="28"/>
          <w:szCs w:val="28"/>
          <w:lang w:eastAsia="fr-FR"/>
        </w:rPr>
        <w:t>-</w:t>
      </w:r>
      <w:proofErr w:type="spellStart"/>
      <w:r w:rsidRPr="00B70EEC">
        <w:rPr>
          <w:rFonts w:eastAsia="Times New Roman" w:cs="Times New Roman"/>
          <w:i/>
          <w:sz w:val="28"/>
          <w:szCs w:val="28"/>
          <w:lang w:eastAsia="fr-FR"/>
        </w:rPr>
        <w:t>Myunkum</w:t>
      </w:r>
      <w:proofErr w:type="spellEnd"/>
      <w:r w:rsidRPr="00B8490E">
        <w:rPr>
          <w:rFonts w:eastAsia="Times New Roman" w:cs="Times New Roman"/>
          <w:sz w:val="28"/>
          <w:szCs w:val="28"/>
          <w:lang w:eastAsia="fr-FR"/>
        </w:rPr>
        <w:t xml:space="preserve"> (Kazakhstan) ; </w:t>
      </w:r>
      <w:proofErr w:type="spellStart"/>
      <w:r w:rsidRPr="00B70EEC">
        <w:rPr>
          <w:rFonts w:eastAsia="Times New Roman" w:cs="Times New Roman"/>
          <w:i/>
          <w:sz w:val="28"/>
          <w:szCs w:val="28"/>
          <w:lang w:eastAsia="fr-FR"/>
        </w:rPr>
        <w:t>Olympic</w:t>
      </w:r>
      <w:proofErr w:type="spellEnd"/>
      <w:r w:rsidRPr="00B70EEC">
        <w:rPr>
          <w:rFonts w:eastAsia="Times New Roman" w:cs="Times New Roman"/>
          <w:i/>
          <w:sz w:val="28"/>
          <w:szCs w:val="28"/>
          <w:lang w:eastAsia="fr-FR"/>
        </w:rPr>
        <w:t xml:space="preserve"> Dam</w:t>
      </w:r>
      <w:r w:rsidRPr="00B8490E">
        <w:rPr>
          <w:rFonts w:eastAsia="Times New Roman" w:cs="Times New Roman"/>
          <w:sz w:val="28"/>
          <w:szCs w:val="28"/>
          <w:lang w:eastAsia="fr-FR"/>
        </w:rPr>
        <w:t xml:space="preserve"> (Australie-du-Sud) ; </w:t>
      </w:r>
      <w:proofErr w:type="spellStart"/>
      <w:r w:rsidRPr="00B70EEC">
        <w:rPr>
          <w:rFonts w:eastAsia="Times New Roman" w:cs="Times New Roman"/>
          <w:i/>
          <w:sz w:val="28"/>
          <w:szCs w:val="28"/>
          <w:lang w:eastAsia="fr-FR"/>
        </w:rPr>
        <w:t>Arlit</w:t>
      </w:r>
      <w:proofErr w:type="spellEnd"/>
      <w:r w:rsidRPr="00B70EEC">
        <w:rPr>
          <w:rFonts w:eastAsia="Times New Roman" w:cs="Times New Roman"/>
          <w:i/>
          <w:sz w:val="28"/>
          <w:szCs w:val="28"/>
          <w:lang w:eastAsia="fr-FR"/>
        </w:rPr>
        <w:t xml:space="preserve"> </w:t>
      </w:r>
      <w:r w:rsidRPr="00B8490E">
        <w:rPr>
          <w:rFonts w:eastAsia="Times New Roman" w:cs="Times New Roman"/>
          <w:sz w:val="28"/>
          <w:szCs w:val="28"/>
          <w:lang w:eastAsia="fr-FR"/>
        </w:rPr>
        <w:t>(Niger).</w:t>
      </w:r>
    </w:p>
    <w:p w:rsidR="00B70EEC" w:rsidRPr="00B8490E" w:rsidRDefault="00B70EEC" w:rsidP="00B84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316C6C" w:rsidRPr="003360BF" w:rsidRDefault="00316C6C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316C6C" w:rsidRPr="002B2286" w:rsidRDefault="00857297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3360BF">
        <w:rPr>
          <w:rFonts w:eastAsia="Times New Roman" w:cs="Times New Roman"/>
          <w:sz w:val="28"/>
          <w:szCs w:val="28"/>
          <w:lang w:eastAsia="fr-FR"/>
        </w:rPr>
        <w:t xml:space="preserve"> </w:t>
      </w:r>
    </w:p>
    <w:p w:rsidR="00125037" w:rsidRPr="002B2286" w:rsidRDefault="00125037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76789B" w:rsidRPr="002B2286" w:rsidRDefault="0076789B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125037" w:rsidRPr="002B2286" w:rsidRDefault="00125037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EC3128" w:rsidRPr="002B2286" w:rsidRDefault="00EC3128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125037" w:rsidRPr="002B2286" w:rsidRDefault="00125037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326E89" w:rsidRPr="002B2286" w:rsidRDefault="00326E89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326E89" w:rsidRPr="002B2286" w:rsidRDefault="00326E89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142C0C" w:rsidRPr="002B2286" w:rsidRDefault="00142C0C" w:rsidP="00857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sectPr w:rsidR="00142C0C" w:rsidRPr="002B2286" w:rsidSect="00AE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297"/>
    <w:rsid w:val="000176CF"/>
    <w:rsid w:val="00020BF2"/>
    <w:rsid w:val="00031F99"/>
    <w:rsid w:val="0004098D"/>
    <w:rsid w:val="000420B3"/>
    <w:rsid w:val="00045B7D"/>
    <w:rsid w:val="000748D5"/>
    <w:rsid w:val="00077879"/>
    <w:rsid w:val="000B0E3D"/>
    <w:rsid w:val="000E6BA0"/>
    <w:rsid w:val="001234C5"/>
    <w:rsid w:val="00125037"/>
    <w:rsid w:val="00142C0C"/>
    <w:rsid w:val="00147584"/>
    <w:rsid w:val="001A7B9F"/>
    <w:rsid w:val="00232E01"/>
    <w:rsid w:val="00237827"/>
    <w:rsid w:val="00252A28"/>
    <w:rsid w:val="0029477A"/>
    <w:rsid w:val="002B2286"/>
    <w:rsid w:val="002C56C8"/>
    <w:rsid w:val="002C7941"/>
    <w:rsid w:val="002D3242"/>
    <w:rsid w:val="002E52D3"/>
    <w:rsid w:val="003143E0"/>
    <w:rsid w:val="00316C6C"/>
    <w:rsid w:val="00326E89"/>
    <w:rsid w:val="003360BF"/>
    <w:rsid w:val="0035028A"/>
    <w:rsid w:val="003A1470"/>
    <w:rsid w:val="003E5EB3"/>
    <w:rsid w:val="0042243C"/>
    <w:rsid w:val="004738B3"/>
    <w:rsid w:val="00476CCC"/>
    <w:rsid w:val="00496FDA"/>
    <w:rsid w:val="004A27F7"/>
    <w:rsid w:val="004F20E1"/>
    <w:rsid w:val="004F762A"/>
    <w:rsid w:val="00541E98"/>
    <w:rsid w:val="00543184"/>
    <w:rsid w:val="005750D8"/>
    <w:rsid w:val="005863DF"/>
    <w:rsid w:val="00592D56"/>
    <w:rsid w:val="005A706B"/>
    <w:rsid w:val="005B0F2D"/>
    <w:rsid w:val="005D4E48"/>
    <w:rsid w:val="005D4E7A"/>
    <w:rsid w:val="005D7320"/>
    <w:rsid w:val="00636EE4"/>
    <w:rsid w:val="00636F59"/>
    <w:rsid w:val="006433C2"/>
    <w:rsid w:val="00652CF8"/>
    <w:rsid w:val="0065394B"/>
    <w:rsid w:val="00693117"/>
    <w:rsid w:val="006B7952"/>
    <w:rsid w:val="00703742"/>
    <w:rsid w:val="007175FB"/>
    <w:rsid w:val="00720303"/>
    <w:rsid w:val="007255BC"/>
    <w:rsid w:val="007259F8"/>
    <w:rsid w:val="00750426"/>
    <w:rsid w:val="007613A9"/>
    <w:rsid w:val="0076789B"/>
    <w:rsid w:val="00773188"/>
    <w:rsid w:val="00795392"/>
    <w:rsid w:val="00816270"/>
    <w:rsid w:val="00835076"/>
    <w:rsid w:val="00853C6F"/>
    <w:rsid w:val="00857297"/>
    <w:rsid w:val="0087053F"/>
    <w:rsid w:val="008C70EE"/>
    <w:rsid w:val="008F2792"/>
    <w:rsid w:val="009406FE"/>
    <w:rsid w:val="00952516"/>
    <w:rsid w:val="00955F85"/>
    <w:rsid w:val="009849D5"/>
    <w:rsid w:val="0098721D"/>
    <w:rsid w:val="009D5205"/>
    <w:rsid w:val="009D69AD"/>
    <w:rsid w:val="009E4DBD"/>
    <w:rsid w:val="009E55AB"/>
    <w:rsid w:val="00A04769"/>
    <w:rsid w:val="00A541C1"/>
    <w:rsid w:val="00A64878"/>
    <w:rsid w:val="00AD2BE4"/>
    <w:rsid w:val="00AE22BD"/>
    <w:rsid w:val="00AE2C52"/>
    <w:rsid w:val="00B23491"/>
    <w:rsid w:val="00B70EEC"/>
    <w:rsid w:val="00B82AAE"/>
    <w:rsid w:val="00B8490E"/>
    <w:rsid w:val="00B866D9"/>
    <w:rsid w:val="00B86C49"/>
    <w:rsid w:val="00B90A1C"/>
    <w:rsid w:val="00BB061D"/>
    <w:rsid w:val="00BD545A"/>
    <w:rsid w:val="00BF6661"/>
    <w:rsid w:val="00C176BF"/>
    <w:rsid w:val="00C26095"/>
    <w:rsid w:val="00C45EFE"/>
    <w:rsid w:val="00C908AA"/>
    <w:rsid w:val="00C9627B"/>
    <w:rsid w:val="00CE364A"/>
    <w:rsid w:val="00D371D8"/>
    <w:rsid w:val="00D4116B"/>
    <w:rsid w:val="00D648DD"/>
    <w:rsid w:val="00DA6CD4"/>
    <w:rsid w:val="00DA7669"/>
    <w:rsid w:val="00DB4390"/>
    <w:rsid w:val="00DB5439"/>
    <w:rsid w:val="00DC3B5D"/>
    <w:rsid w:val="00E11F5E"/>
    <w:rsid w:val="00E322E5"/>
    <w:rsid w:val="00E33F67"/>
    <w:rsid w:val="00E3584B"/>
    <w:rsid w:val="00E61B84"/>
    <w:rsid w:val="00EA0FE4"/>
    <w:rsid w:val="00EA4D2A"/>
    <w:rsid w:val="00EC3128"/>
    <w:rsid w:val="00EC5F1C"/>
    <w:rsid w:val="00EC6351"/>
    <w:rsid w:val="00ED275B"/>
    <w:rsid w:val="00EF186D"/>
    <w:rsid w:val="00F03F17"/>
    <w:rsid w:val="00F3223A"/>
    <w:rsid w:val="00F378F3"/>
    <w:rsid w:val="00F47E72"/>
    <w:rsid w:val="00F573AE"/>
    <w:rsid w:val="00F66FFA"/>
    <w:rsid w:val="00FA6756"/>
    <w:rsid w:val="00FC3EFA"/>
    <w:rsid w:val="00FC6D54"/>
    <w:rsid w:val="00FC6FB3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52"/>
  </w:style>
  <w:style w:type="paragraph" w:styleId="Titre1">
    <w:name w:val="heading 1"/>
    <w:basedOn w:val="Normal"/>
    <w:next w:val="Normal"/>
    <w:link w:val="Titre1Car"/>
    <w:uiPriority w:val="9"/>
    <w:qFormat/>
    <w:rsid w:val="00237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57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572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85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7297"/>
    <w:rPr>
      <w:b/>
      <w:bCs/>
    </w:rPr>
  </w:style>
  <w:style w:type="paragraph" w:customStyle="1" w:styleId="pulloutr">
    <w:name w:val="pulloutr"/>
    <w:basedOn w:val="Normal"/>
    <w:rsid w:val="0085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F6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0B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7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2.jpeg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2"/>
  <c:chart>
    <c:autoTitleDeleted val="1"/>
    <c:plotArea>
      <c:layout/>
      <c:pieChart>
        <c:varyColors val="1"/>
        <c:ser>
          <c:idx val="0"/>
          <c:order val="0"/>
          <c:tx>
            <c:strRef>
              <c:f>'Feuil1'!$B$1</c:f>
              <c:strCache>
                <c:ptCount val="1"/>
                <c:pt idx="0">
                  <c:v>Ventes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'Feuil1'!$A$2:$A$12</c:f>
              <c:strCache>
                <c:ptCount val="11"/>
                <c:pt idx="0">
                  <c:v>Etats Unis</c:v>
                </c:pt>
                <c:pt idx="1">
                  <c:v>France</c:v>
                </c:pt>
                <c:pt idx="2">
                  <c:v>Russie</c:v>
                </c:pt>
                <c:pt idx="3">
                  <c:v>Chine</c:v>
                </c:pt>
                <c:pt idx="4">
                  <c:v>Corée du Sud</c:v>
                </c:pt>
                <c:pt idx="5">
                  <c:v>Ukraine</c:v>
                </c:pt>
                <c:pt idx="6">
                  <c:v>Royaume Uni</c:v>
                </c:pt>
                <c:pt idx="7">
                  <c:v>Allemagne</c:v>
                </c:pt>
                <c:pt idx="8">
                  <c:v>Canada</c:v>
                </c:pt>
                <c:pt idx="9">
                  <c:v>Suède</c:v>
                </c:pt>
                <c:pt idx="10">
                  <c:v>autres</c:v>
                </c:pt>
              </c:strCache>
            </c:strRef>
          </c:cat>
          <c:val>
            <c:numRef>
              <c:f>'Feuil1'!$B$2:$B$12</c:f>
              <c:numCache>
                <c:formatCode>General</c:formatCode>
                <c:ptCount val="11"/>
                <c:pt idx="0">
                  <c:v>29</c:v>
                </c:pt>
                <c:pt idx="1">
                  <c:v>15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17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2"/>
  <c:chart>
    <c:plotArea>
      <c:layout/>
      <c:lineChart>
        <c:grouping val="standard"/>
        <c:ser>
          <c:idx val="0"/>
          <c:order val="0"/>
          <c:tx>
            <c:strRef>
              <c:f>'Feuil1'!$B$1</c:f>
              <c:strCache>
                <c:ptCount val="1"/>
                <c:pt idx="0">
                  <c:v>Spot</c:v>
                </c:pt>
              </c:strCache>
            </c:strRef>
          </c:tx>
          <c:marker>
            <c:symbol val="none"/>
          </c:marker>
          <c:cat>
            <c:strRef>
              <c:f>'Feuil1'!$A$2:$A$14</c:f>
              <c:strCache>
                <c:ptCount val="13"/>
                <c:pt idx="0">
                  <c:v>Décembre</c:v>
                </c:pt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'Feuil1'!$B$2:$B$14</c:f>
              <c:numCache>
                <c:formatCode>General</c:formatCode>
                <c:ptCount val="13"/>
                <c:pt idx="0">
                  <c:v>34.230000000000011</c:v>
                </c:pt>
                <c:pt idx="1">
                  <c:v>34.700000000000003</c:v>
                </c:pt>
                <c:pt idx="2">
                  <c:v>32.15</c:v>
                </c:pt>
                <c:pt idx="3">
                  <c:v>28.7</c:v>
                </c:pt>
                <c:pt idx="4">
                  <c:v>27.5</c:v>
                </c:pt>
                <c:pt idx="5">
                  <c:v>27.25</c:v>
                </c:pt>
                <c:pt idx="6">
                  <c:v>26.7</c:v>
                </c:pt>
                <c:pt idx="7">
                  <c:v>25.45</c:v>
                </c:pt>
                <c:pt idx="8">
                  <c:v>25.25</c:v>
                </c:pt>
                <c:pt idx="9">
                  <c:v>23</c:v>
                </c:pt>
                <c:pt idx="10">
                  <c:v>18.75</c:v>
                </c:pt>
                <c:pt idx="11">
                  <c:v>18</c:v>
                </c:pt>
                <c:pt idx="12">
                  <c:v>20.25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LT</c:v>
                </c:pt>
              </c:strCache>
            </c:strRef>
          </c:tx>
          <c:marker>
            <c:symbol val="none"/>
          </c:marker>
          <c:cat>
            <c:strRef>
              <c:f>'Feuil1'!$A$2:$A$14</c:f>
              <c:strCache>
                <c:ptCount val="13"/>
                <c:pt idx="0">
                  <c:v>Décembre</c:v>
                </c:pt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'Feuil1'!$C$2:$C$14</c:f>
              <c:numCache>
                <c:formatCode>General</c:formatCode>
                <c:ptCount val="13"/>
                <c:pt idx="0">
                  <c:v>44</c:v>
                </c:pt>
                <c:pt idx="1">
                  <c:v>44</c:v>
                </c:pt>
                <c:pt idx="2">
                  <c:v>44</c:v>
                </c:pt>
                <c:pt idx="3">
                  <c:v>43.5</c:v>
                </c:pt>
                <c:pt idx="4">
                  <c:v>43</c:v>
                </c:pt>
                <c:pt idx="5">
                  <c:v>41</c:v>
                </c:pt>
                <c:pt idx="6">
                  <c:v>40.5</c:v>
                </c:pt>
                <c:pt idx="7">
                  <c:v>38</c:v>
                </c:pt>
                <c:pt idx="8">
                  <c:v>38</c:v>
                </c:pt>
                <c:pt idx="9">
                  <c:v>37.5</c:v>
                </c:pt>
                <c:pt idx="10">
                  <c:v>35.5</c:v>
                </c:pt>
                <c:pt idx="11">
                  <c:v>33</c:v>
                </c:pt>
                <c:pt idx="12">
                  <c:v>30</c:v>
                </c:pt>
              </c:numCache>
            </c:numRef>
          </c:val>
        </c:ser>
        <c:marker val="1"/>
        <c:axId val="108825216"/>
        <c:axId val="108851584"/>
      </c:lineChart>
      <c:catAx>
        <c:axId val="108825216"/>
        <c:scaling>
          <c:orientation val="minMax"/>
        </c:scaling>
        <c:axPos val="b"/>
        <c:tickLblPos val="nextTo"/>
        <c:crossAx val="108851584"/>
        <c:crosses val="autoZero"/>
        <c:auto val="1"/>
        <c:lblAlgn val="ctr"/>
        <c:lblOffset val="100"/>
      </c:catAx>
      <c:valAx>
        <c:axId val="108851584"/>
        <c:scaling>
          <c:orientation val="minMax"/>
        </c:scaling>
        <c:axPos val="l"/>
        <c:majorGridlines/>
        <c:numFmt formatCode="General" sourceLinked="1"/>
        <c:tickLblPos val="nextTo"/>
        <c:crossAx val="10882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2"/>
  <c:chart>
    <c:autoTitleDeleted val="1"/>
    <c:plotArea>
      <c:layout/>
      <c:pieChart>
        <c:varyColors val="1"/>
        <c:ser>
          <c:idx val="0"/>
          <c:order val="0"/>
          <c:tx>
            <c:strRef>
              <c:f>'Feuil1'!$B$1</c:f>
              <c:strCache>
                <c:ptCount val="1"/>
                <c:pt idx="0">
                  <c:v>Ventes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'Feuil1'!$A$2:$A$18</c:f>
              <c:strCache>
                <c:ptCount val="17"/>
                <c:pt idx="0">
                  <c:v>Australie</c:v>
                </c:pt>
                <c:pt idx="1">
                  <c:v>Kazakhstan</c:v>
                </c:pt>
                <c:pt idx="2">
                  <c:v>Canada</c:v>
                </c:pt>
                <c:pt idx="3">
                  <c:v>Russie</c:v>
                </c:pt>
                <c:pt idx="4">
                  <c:v>Afr du Sud</c:v>
                </c:pt>
                <c:pt idx="5">
                  <c:v>Niger</c:v>
                </c:pt>
                <c:pt idx="6">
                  <c:v>Brésil</c:v>
                </c:pt>
                <c:pt idx="7">
                  <c:v>Chine</c:v>
                </c:pt>
                <c:pt idx="8">
                  <c:v>Namibie</c:v>
                </c:pt>
                <c:pt idx="9">
                  <c:v>Mongolie</c:v>
                </c:pt>
                <c:pt idx="10">
                  <c:v>Ouzbékistan</c:v>
                </c:pt>
                <c:pt idx="11">
                  <c:v>Ukraine</c:v>
                </c:pt>
                <c:pt idx="12">
                  <c:v>Botswana</c:v>
                </c:pt>
                <c:pt idx="13">
                  <c:v>Etats-Unis</c:v>
                </c:pt>
                <c:pt idx="14">
                  <c:v>Tanzanie</c:v>
                </c:pt>
                <c:pt idx="15">
                  <c:v>Jordanie</c:v>
                </c:pt>
                <c:pt idx="16">
                  <c:v>autres</c:v>
                </c:pt>
              </c:strCache>
            </c:strRef>
          </c:cat>
          <c:val>
            <c:numRef>
              <c:f>'Feuil1'!$B$2:$B$18</c:f>
              <c:numCache>
                <c:formatCode>0%</c:formatCode>
                <c:ptCount val="17"/>
                <c:pt idx="0">
                  <c:v>0.29000000000000031</c:v>
                </c:pt>
                <c:pt idx="1">
                  <c:v>0.13</c:v>
                </c:pt>
                <c:pt idx="2">
                  <c:v>9.0000000000000066E-2</c:v>
                </c:pt>
                <c:pt idx="3">
                  <c:v>9.0000000000000066E-2</c:v>
                </c:pt>
                <c:pt idx="4">
                  <c:v>6.0000000000000102E-2</c:v>
                </c:pt>
                <c:pt idx="5">
                  <c:v>5.0000000000000031E-2</c:v>
                </c:pt>
                <c:pt idx="6">
                  <c:v>5.0000000000000031E-2</c:v>
                </c:pt>
                <c:pt idx="7">
                  <c:v>5.0000000000000031E-2</c:v>
                </c:pt>
                <c:pt idx="8">
                  <c:v>5.0000000000000031E-2</c:v>
                </c:pt>
                <c:pt idx="9">
                  <c:v>2.0000000000000032E-2</c:v>
                </c:pt>
                <c:pt idx="10">
                  <c:v>2.0000000000000032E-2</c:v>
                </c:pt>
                <c:pt idx="11">
                  <c:v>2.0000000000000032E-2</c:v>
                </c:pt>
                <c:pt idx="12">
                  <c:v>1.0000000000000021E-2</c:v>
                </c:pt>
                <c:pt idx="13">
                  <c:v>1.0000000000000021E-2</c:v>
                </c:pt>
                <c:pt idx="14">
                  <c:v>1.0000000000000021E-2</c:v>
                </c:pt>
                <c:pt idx="15">
                  <c:v>1.0000000000000021E-2</c:v>
                </c:pt>
                <c:pt idx="16">
                  <c:v>4.0000000000000063E-2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2"/>
  <c:chart>
    <c:autoTitleDeleted val="1"/>
    <c:plotArea>
      <c:layout/>
      <c:pieChart>
        <c:varyColors val="1"/>
        <c:ser>
          <c:idx val="0"/>
          <c:order val="0"/>
          <c:tx>
            <c:strRef>
              <c:f>'Feuil1'!$B$1</c:f>
              <c:strCache>
                <c:ptCount val="1"/>
                <c:pt idx="0">
                  <c:v>Ventes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Kazakhstan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Canada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Australie</a:t>
                    </a:r>
                  </a:p>
                </c:rich>
              </c:tx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Niger</a:t>
                    </a:r>
                  </a:p>
                </c:rich>
              </c:tx>
              <c:showVal val="1"/>
              <c:showCat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Russie</a:t>
                    </a:r>
                  </a:p>
                </c:rich>
              </c:tx>
              <c:showVal val="1"/>
              <c:showCatName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Namibie</a:t>
                    </a:r>
                  </a:p>
                </c:rich>
              </c:tx>
              <c:showVal val="1"/>
              <c:showCatName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Ouzbékistan</a:t>
                    </a:r>
                  </a:p>
                </c:rich>
              </c:tx>
              <c:showVal val="1"/>
              <c:showCatName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Chine</a:t>
                    </a:r>
                  </a:p>
                </c:rich>
              </c:tx>
              <c:showVal val="1"/>
              <c:showCatName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Etats Unis</a:t>
                    </a:r>
                  </a:p>
                </c:rich>
              </c:tx>
              <c:showVal val="1"/>
              <c:showCatName val="1"/>
            </c:dLbl>
            <c:dLbl>
              <c:idx val="9"/>
              <c:delete val="1"/>
            </c:dLbl>
            <c:dLbl>
              <c:idx val="10"/>
              <c:delete val="1"/>
            </c:dLbl>
            <c:showVal val="1"/>
            <c:showCatName val="1"/>
            <c:showLeaderLines val="1"/>
          </c:dLbls>
          <c:cat>
            <c:strRef>
              <c:f>'Feuil1'!$A$3:$A$11</c:f>
              <c:strCache>
                <c:ptCount val="9"/>
                <c:pt idx="0">
                  <c:v>Canada</c:v>
                </c:pt>
                <c:pt idx="1">
                  <c:v>Australia</c:v>
                </c:pt>
                <c:pt idx="2">
                  <c:v>Niger</c:v>
                </c:pt>
                <c:pt idx="3">
                  <c:v>Russia</c:v>
                </c:pt>
                <c:pt idx="4">
                  <c:v>Namibia</c:v>
                </c:pt>
                <c:pt idx="5">
                  <c:v>Uzbekistan</c:v>
                </c:pt>
                <c:pt idx="6">
                  <c:v>China</c:v>
                </c:pt>
                <c:pt idx="7">
                  <c:v>USA</c:v>
                </c:pt>
                <c:pt idx="8">
                  <c:v>Ukraine</c:v>
                </c:pt>
              </c:strCache>
            </c:strRef>
          </c:cat>
          <c:val>
            <c:numRef>
              <c:f>'Feuil1'!$B$2:$B$12</c:f>
              <c:numCache>
                <c:formatCode>General</c:formatCode>
                <c:ptCount val="11"/>
                <c:pt idx="0">
                  <c:v>39</c:v>
                </c:pt>
                <c:pt idx="1">
                  <c:v>22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2"/>
  <c:chart>
    <c:autoTitleDeleted val="1"/>
    <c:plotArea>
      <c:layout/>
      <c:pieChart>
        <c:varyColors val="1"/>
        <c:ser>
          <c:idx val="0"/>
          <c:order val="0"/>
          <c:tx>
            <c:strRef>
              <c:f>'Feuil1'!$B$1</c:f>
              <c:strCache>
                <c:ptCount val="1"/>
                <c:pt idx="0">
                  <c:v>Ventes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KazAtomProm
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Cameco
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2.9112168270632788E-2"/>
                  <c:y val="-0.126349206349206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Areva
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ARMZ + U.1
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CNNC+CGN
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BHP-Billiton
</a:t>
                    </a:r>
                  </a:p>
                </c:rich>
              </c:tx>
              <c:showCatName val="1"/>
              <c:showPercent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Rio Tinto
</a:t>
                    </a:r>
                  </a:p>
                </c:rich>
              </c:tx>
              <c:showCatName val="1"/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Navoi
</a:t>
                    </a:r>
                  </a:p>
                </c:rich>
              </c:tx>
              <c:showCatName val="1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Paladin
</a:t>
                    </a:r>
                  </a:p>
                </c:rich>
              </c:tx>
              <c:showCatName val="1"/>
              <c:showPercent val="1"/>
            </c:dLbl>
            <c:dLbl>
              <c:idx val="9"/>
              <c:layout>
                <c:manualLayout>
                  <c:x val="3.5288622776319951E-2"/>
                  <c:y val="0.145456817897764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autres
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'Feuil1'!$A$2:$A$11</c:f>
              <c:strCache>
                <c:ptCount val="10"/>
                <c:pt idx="0">
                  <c:v>KazAtomProm</c:v>
                </c:pt>
                <c:pt idx="1">
                  <c:v>Cameco</c:v>
                </c:pt>
                <c:pt idx="2">
                  <c:v>Areva</c:v>
                </c:pt>
                <c:pt idx="3">
                  <c:v>ARMZ + U.1</c:v>
                </c:pt>
                <c:pt idx="4">
                  <c:v>CNNC+CGN</c:v>
                </c:pt>
                <c:pt idx="5">
                  <c:v>BHP-Billiton</c:v>
                </c:pt>
                <c:pt idx="6">
                  <c:v>Rio Tinto</c:v>
                </c:pt>
                <c:pt idx="7">
                  <c:v>Navoi</c:v>
                </c:pt>
                <c:pt idx="8">
                  <c:v>Paladin</c:v>
                </c:pt>
                <c:pt idx="9">
                  <c:v>others</c:v>
                </c:pt>
              </c:strCache>
            </c:strRef>
          </c:cat>
          <c:val>
            <c:numRef>
              <c:f>'Feuil1'!$B$2:$B$11</c:f>
              <c:numCache>
                <c:formatCode>General</c:formatCode>
                <c:ptCount val="10"/>
                <c:pt idx="0">
                  <c:v>21</c:v>
                </c:pt>
                <c:pt idx="1">
                  <c:v>18</c:v>
                </c:pt>
                <c:pt idx="2">
                  <c:v>15</c:v>
                </c:pt>
                <c:pt idx="3">
                  <c:v>13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2</c:v>
                </c:pt>
                <c:pt idx="9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Jean-Paul</cp:lastModifiedBy>
  <cp:revision>10</cp:revision>
  <dcterms:created xsi:type="dcterms:W3CDTF">2017-05-07T08:31:00Z</dcterms:created>
  <dcterms:modified xsi:type="dcterms:W3CDTF">2017-05-09T08:57:00Z</dcterms:modified>
</cp:coreProperties>
</file>